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6EF" w:rsidRDefault="00774936">
      <w:pPr>
        <w:rPr>
          <w:b/>
        </w:rPr>
      </w:pPr>
      <w:r>
        <w:rPr>
          <w:b/>
        </w:rPr>
        <w:t>3GPP TSG RAN WG1 #</w:t>
      </w:r>
      <w:proofErr w:type="gramStart"/>
      <w:r>
        <w:rPr>
          <w:b/>
        </w:rPr>
        <w:t xml:space="preserve">112 </w:t>
      </w:r>
      <w:r>
        <w:rPr>
          <w:b/>
        </w:rPr>
        <w:tab/>
      </w:r>
      <w:r>
        <w:rPr>
          <w:b/>
        </w:rPr>
        <w:tab/>
      </w:r>
      <w:r>
        <w:rPr>
          <w:b/>
        </w:rPr>
        <w:tab/>
      </w:r>
      <w:r>
        <w:rPr>
          <w:b/>
        </w:rPr>
        <w:tab/>
      </w:r>
      <w:r>
        <w:rPr>
          <w:b/>
        </w:rPr>
        <w:tab/>
      </w:r>
      <w:r>
        <w:rPr>
          <w:b/>
        </w:rPr>
        <w:tab/>
      </w:r>
      <w:r>
        <w:rPr>
          <w:b/>
        </w:rPr>
        <w:tab/>
      </w:r>
      <w:r>
        <w:rPr>
          <w:b/>
        </w:rPr>
        <w:tab/>
        <w:t xml:space="preserve">          </w:t>
      </w:r>
      <w:r>
        <w:rPr>
          <w:b/>
        </w:rPr>
        <w:tab/>
        <w:t xml:space="preserve">            </w:t>
      </w:r>
      <w:r>
        <w:rPr>
          <w:rFonts w:eastAsia="SimSun"/>
          <w:b/>
          <w:szCs w:val="20"/>
        </w:rPr>
        <w:t>R1-2300289</w:t>
      </w:r>
      <w:proofErr w:type="gramEnd"/>
    </w:p>
    <w:p w:rsidR="004B76EF" w:rsidRDefault="00774936">
      <w:pPr>
        <w:tabs>
          <w:tab w:val="center" w:pos="4536"/>
          <w:tab w:val="right" w:pos="9072"/>
        </w:tabs>
        <w:rPr>
          <w:rFonts w:eastAsia="MS Mincho"/>
          <w:b/>
          <w:bCs/>
          <w:sz w:val="22"/>
          <w:lang w:eastAsia="ja-JP"/>
        </w:rPr>
      </w:pPr>
      <w:r>
        <w:rPr>
          <w:rFonts w:eastAsia="SimSun"/>
          <w:b/>
          <w:szCs w:val="20"/>
        </w:rPr>
        <w:t>Athens, Greece, February</w:t>
      </w:r>
      <w:r>
        <w:rPr>
          <w:rFonts w:eastAsia="SimSun" w:hint="eastAsia"/>
          <w:b/>
          <w:szCs w:val="20"/>
        </w:rPr>
        <w:t xml:space="preserve"> </w:t>
      </w:r>
      <w:r>
        <w:rPr>
          <w:rFonts w:eastAsia="SimSun"/>
          <w:b/>
          <w:szCs w:val="20"/>
        </w:rPr>
        <w:t>27</w:t>
      </w:r>
      <w:r>
        <w:rPr>
          <w:rFonts w:eastAsia="SimSun"/>
          <w:b/>
          <w:szCs w:val="20"/>
          <w:vertAlign w:val="superscript"/>
        </w:rPr>
        <w:t>th</w:t>
      </w:r>
      <w:r>
        <w:rPr>
          <w:rFonts w:eastAsia="SimSun"/>
          <w:b/>
          <w:szCs w:val="20"/>
        </w:rPr>
        <w:t xml:space="preserve"> – March 3</w:t>
      </w:r>
      <w:r>
        <w:rPr>
          <w:rFonts w:eastAsia="SimSun"/>
          <w:b/>
          <w:szCs w:val="20"/>
          <w:vertAlign w:val="superscript"/>
        </w:rPr>
        <w:t>rd</w:t>
      </w:r>
      <w:r>
        <w:rPr>
          <w:rFonts w:eastAsia="SimSun"/>
          <w:b/>
          <w:szCs w:val="20"/>
        </w:rPr>
        <w:t>, 2023</w:t>
      </w:r>
    </w:p>
    <w:p w:rsidR="004B76EF" w:rsidRDefault="004B76EF"/>
    <w:p w:rsidR="004B76EF" w:rsidRDefault="00774936">
      <w:pPr>
        <w:rPr>
          <w:rFonts w:cs="Times New Roman"/>
          <w:b/>
        </w:rPr>
      </w:pPr>
      <w:r>
        <w:rPr>
          <w:rFonts w:cs="Times New Roman"/>
          <w:b/>
        </w:rPr>
        <w:t>Source:</w:t>
      </w:r>
      <w:r>
        <w:rPr>
          <w:rFonts w:cs="Times New Roman"/>
          <w:b/>
        </w:rPr>
        <w:tab/>
      </w:r>
      <w:r>
        <w:rPr>
          <w:rFonts w:cs="Times New Roman"/>
          <w:b/>
        </w:rPr>
        <w:tab/>
      </w:r>
      <w:r>
        <w:rPr>
          <w:rFonts w:cs="Times New Roman"/>
          <w:b/>
        </w:rPr>
        <w:tab/>
        <w:t>OPPO</w:t>
      </w:r>
    </w:p>
    <w:p w:rsidR="004B76EF" w:rsidRDefault="00774936">
      <w:pPr>
        <w:rPr>
          <w:rFonts w:cs="Times New Roman"/>
          <w:b/>
        </w:rPr>
      </w:pPr>
      <w:r>
        <w:rPr>
          <w:rFonts w:cs="Times New Roman"/>
          <w:b/>
        </w:rPr>
        <w:t>Title:</w:t>
      </w:r>
      <w:r>
        <w:rPr>
          <w:rFonts w:cs="Times New Roman"/>
          <w:b/>
        </w:rPr>
        <w:tab/>
      </w:r>
      <w:r>
        <w:rPr>
          <w:rFonts w:cs="Times New Roman"/>
          <w:b/>
        </w:rPr>
        <w:tab/>
      </w:r>
      <w:r>
        <w:rPr>
          <w:rFonts w:cs="Times New Roman"/>
          <w:b/>
        </w:rPr>
        <w:tab/>
        <w:t>Discussion on multi-cell PUSCH/PDSCH scheduling with a single DCI</w:t>
      </w:r>
    </w:p>
    <w:p w:rsidR="004B76EF" w:rsidRDefault="00774936">
      <w:pPr>
        <w:rPr>
          <w:rFonts w:cs="Times New Roman"/>
          <w:b/>
        </w:rPr>
      </w:pPr>
      <w:r>
        <w:rPr>
          <w:rFonts w:cs="Times New Roman"/>
          <w:b/>
        </w:rPr>
        <w:t>Agenda Item:</w:t>
      </w:r>
      <w:r>
        <w:rPr>
          <w:rFonts w:cs="Times New Roman"/>
          <w:b/>
        </w:rPr>
        <w:tab/>
      </w:r>
      <w:r>
        <w:rPr>
          <w:rFonts w:cs="Times New Roman"/>
          <w:b/>
        </w:rPr>
        <w:tab/>
        <w:t>9.9.1</w:t>
      </w:r>
    </w:p>
    <w:p w:rsidR="004B76EF" w:rsidRDefault="00774936">
      <w:pPr>
        <w:pBdr>
          <w:bottom w:val="single" w:sz="6" w:space="1" w:color="auto"/>
        </w:pBdr>
        <w:rPr>
          <w:rFonts w:cs="Times New Roman"/>
          <w:b/>
        </w:rPr>
      </w:pPr>
      <w:r>
        <w:rPr>
          <w:rFonts w:cs="Times New Roman"/>
          <w:b/>
        </w:rPr>
        <w:t>Document for:</w:t>
      </w:r>
      <w:r>
        <w:rPr>
          <w:rFonts w:cs="Times New Roman"/>
          <w:b/>
        </w:rPr>
        <w:tab/>
      </w:r>
      <w:r>
        <w:rPr>
          <w:rFonts w:cs="Times New Roman"/>
          <w:b/>
        </w:rPr>
        <w:tab/>
        <w:t xml:space="preserve">Discussion and </w:t>
      </w:r>
      <w:r>
        <w:rPr>
          <w:rFonts w:cs="Times New Roman"/>
          <w:b/>
        </w:rPr>
        <w:t>Decision</w:t>
      </w:r>
    </w:p>
    <w:p w:rsidR="004B76EF" w:rsidRDefault="00774936">
      <w:pPr>
        <w:pStyle w:val="Heading1"/>
        <w:spacing w:line="276" w:lineRule="auto"/>
      </w:pPr>
      <w:r>
        <w:t>Introduction</w:t>
      </w:r>
    </w:p>
    <w:p w:rsidR="004B76EF" w:rsidRDefault="00774936">
      <w:pPr>
        <w:spacing w:before="120" w:after="120" w:line="276" w:lineRule="auto"/>
      </w:pPr>
      <w:r>
        <w:t>The following agreements are achieved i</w:t>
      </w:r>
      <w:r>
        <w:rPr>
          <w:rFonts w:hint="eastAsia"/>
        </w:rPr>
        <w:t>n</w:t>
      </w:r>
      <w:r>
        <w:t xml:space="preserve"> RAN1#110</w:t>
      </w:r>
      <w:r>
        <w:rPr>
          <w:rFonts w:hint="eastAsia"/>
        </w:rPr>
        <w:t>bis</w:t>
      </w:r>
      <w:r>
        <w:t xml:space="preserve"> e-meeting for multi-cell PDSCH/PUSCH scheduling with a single DCI.</w:t>
      </w:r>
    </w:p>
    <w:tbl>
      <w:tblPr>
        <w:tblStyle w:val="TableGrid"/>
        <w:tblW w:w="0" w:type="auto"/>
        <w:tblLook w:val="04A0"/>
      </w:tblPr>
      <w:tblGrid>
        <w:gridCol w:w="9060"/>
      </w:tblGrid>
      <w:tr w:rsidR="004B76EF">
        <w:tc>
          <w:tcPr>
            <w:tcW w:w="9060" w:type="dxa"/>
          </w:tcPr>
          <w:p w:rsidR="004B76EF" w:rsidRDefault="00774936">
            <w:pPr>
              <w:rPr>
                <w:rFonts w:cs="Times"/>
                <w:sz w:val="16"/>
                <w:highlight w:val="green"/>
              </w:rPr>
            </w:pPr>
            <w:r>
              <w:rPr>
                <w:rFonts w:cs="Times"/>
                <w:sz w:val="16"/>
                <w:highlight w:val="green"/>
              </w:rPr>
              <w:t>Agreement:</w:t>
            </w:r>
          </w:p>
          <w:p w:rsidR="004B76EF" w:rsidRDefault="00774936">
            <w:pPr>
              <w:rPr>
                <w:color w:val="000000"/>
                <w:sz w:val="16"/>
              </w:rPr>
            </w:pPr>
            <w:r>
              <w:rPr>
                <w:sz w:val="16"/>
              </w:rPr>
              <w:t>Confirm the RAN1#110bis-e working assumption with the following changes:</w:t>
            </w:r>
            <w:r>
              <w:rPr>
                <w:color w:val="000000"/>
                <w:sz w:val="16"/>
              </w:rPr>
              <w:t xml:space="preserve"> </w:t>
            </w:r>
          </w:p>
          <w:p w:rsidR="004B76EF" w:rsidRDefault="00774936">
            <w:pPr>
              <w:rPr>
                <w:sz w:val="16"/>
                <w:highlight w:val="darkYellow"/>
              </w:rPr>
            </w:pPr>
            <w:r>
              <w:rPr>
                <w:sz w:val="16"/>
                <w:highlight w:val="darkYellow"/>
              </w:rPr>
              <w:t>Working Assumption</w:t>
            </w:r>
          </w:p>
          <w:p w:rsidR="004B76EF" w:rsidRDefault="00774936">
            <w:pPr>
              <w:snapToGrid w:val="0"/>
              <w:ind w:left="360"/>
              <w:rPr>
                <w:color w:val="000000"/>
                <w:sz w:val="16"/>
                <w:szCs w:val="18"/>
              </w:rPr>
            </w:pPr>
            <w:r>
              <w:rPr>
                <w:sz w:val="16"/>
                <w:szCs w:val="18"/>
              </w:rPr>
              <w:t xml:space="preserve">For a set </w:t>
            </w:r>
            <w:r>
              <w:rPr>
                <w:sz w:val="16"/>
                <w:szCs w:val="18"/>
              </w:rPr>
              <w:t>of cells which is configured for multi-cell scheduling</w:t>
            </w:r>
            <w:r>
              <w:rPr>
                <w:color w:val="000000"/>
                <w:sz w:val="16"/>
                <w:szCs w:val="18"/>
              </w:rPr>
              <w:t xml:space="preserve">, </w:t>
            </w:r>
          </w:p>
          <w:p w:rsidR="004B76EF" w:rsidRDefault="00774936">
            <w:pPr>
              <w:widowControl/>
              <w:numPr>
                <w:ilvl w:val="0"/>
                <w:numId w:val="2"/>
              </w:numPr>
              <w:overflowPunct w:val="0"/>
              <w:autoSpaceDE w:val="0"/>
              <w:autoSpaceDN w:val="0"/>
              <w:snapToGrid w:val="0"/>
              <w:textAlignment w:val="baseline"/>
              <w:rPr>
                <w:sz w:val="16"/>
                <w:szCs w:val="18"/>
              </w:rPr>
            </w:pPr>
            <w:r>
              <w:rPr>
                <w:sz w:val="16"/>
                <w:szCs w:val="18"/>
              </w:rPr>
              <w:t>Existing DCI size budget is maintained on each cell of the set of cells.</w:t>
            </w:r>
          </w:p>
          <w:p w:rsidR="004B76EF" w:rsidRDefault="00774936">
            <w:pPr>
              <w:widowControl/>
              <w:numPr>
                <w:ilvl w:val="0"/>
                <w:numId w:val="2"/>
              </w:numPr>
              <w:overflowPunct w:val="0"/>
              <w:autoSpaceDE w:val="0"/>
              <w:autoSpaceDN w:val="0"/>
              <w:snapToGrid w:val="0"/>
              <w:textAlignment w:val="baseline"/>
              <w:rPr>
                <w:color w:val="000000"/>
                <w:sz w:val="16"/>
                <w:szCs w:val="18"/>
              </w:rPr>
            </w:pPr>
            <w:r>
              <w:rPr>
                <w:color w:val="000000"/>
                <w:sz w:val="16"/>
                <w:szCs w:val="18"/>
                <w:lang w:eastAsia="ja-JP"/>
              </w:rPr>
              <w:t>DCI size of DCI format 0_X/1_X is counted on one cell among the set of cells.</w:t>
            </w:r>
          </w:p>
          <w:p w:rsidR="004B76EF" w:rsidRDefault="00774936">
            <w:pPr>
              <w:widowControl/>
              <w:numPr>
                <w:ilvl w:val="1"/>
                <w:numId w:val="2"/>
              </w:numPr>
              <w:overflowPunct w:val="0"/>
              <w:autoSpaceDE w:val="0"/>
              <w:autoSpaceDN w:val="0"/>
              <w:snapToGrid w:val="0"/>
              <w:textAlignment w:val="baseline"/>
              <w:rPr>
                <w:color w:val="000000"/>
                <w:sz w:val="16"/>
                <w:szCs w:val="18"/>
              </w:rPr>
            </w:pPr>
            <w:r>
              <w:rPr>
                <w:color w:val="000000"/>
                <w:sz w:val="16"/>
                <w:szCs w:val="18"/>
              </w:rPr>
              <w:t>DCI size of the DCI format 0_X/1_X is counted on</w:t>
            </w:r>
            <w:r>
              <w:rPr>
                <w:sz w:val="16"/>
                <w:szCs w:val="18"/>
              </w:rPr>
              <w:t xml:space="preserve"> </w:t>
            </w:r>
            <w:r>
              <w:rPr>
                <w:color w:val="000000"/>
                <w:sz w:val="16"/>
                <w:szCs w:val="18"/>
              </w:rPr>
              <w:t>the reference cell.</w:t>
            </w:r>
          </w:p>
          <w:p w:rsidR="004B76EF" w:rsidRDefault="00774936">
            <w:pPr>
              <w:widowControl/>
              <w:numPr>
                <w:ilvl w:val="0"/>
                <w:numId w:val="2"/>
              </w:numPr>
              <w:overflowPunct w:val="0"/>
              <w:autoSpaceDE w:val="0"/>
              <w:autoSpaceDN w:val="0"/>
              <w:snapToGrid w:val="0"/>
              <w:textAlignment w:val="baseline"/>
              <w:rPr>
                <w:color w:val="000000"/>
                <w:sz w:val="16"/>
                <w:szCs w:val="18"/>
              </w:rPr>
            </w:pPr>
            <w:r>
              <w:rPr>
                <w:color w:val="000000"/>
                <w:sz w:val="16"/>
                <w:szCs w:val="18"/>
                <w:lang w:eastAsia="ja-JP"/>
              </w:rPr>
              <w:t>BD/CCE of DCI format 0_X/1_X is counted on one cell among the set of cells.</w:t>
            </w:r>
          </w:p>
          <w:p w:rsidR="004B76EF" w:rsidRDefault="00774936">
            <w:pPr>
              <w:widowControl/>
              <w:numPr>
                <w:ilvl w:val="1"/>
                <w:numId w:val="2"/>
              </w:numPr>
              <w:overflowPunct w:val="0"/>
              <w:autoSpaceDE w:val="0"/>
              <w:autoSpaceDN w:val="0"/>
              <w:snapToGrid w:val="0"/>
              <w:textAlignment w:val="baseline"/>
              <w:rPr>
                <w:color w:val="000000"/>
                <w:sz w:val="16"/>
                <w:szCs w:val="18"/>
              </w:rPr>
            </w:pPr>
            <w:r>
              <w:rPr>
                <w:color w:val="000000"/>
                <w:sz w:val="16"/>
                <w:szCs w:val="18"/>
              </w:rPr>
              <w:t>BD/CCE of the DCI format 0_X/1_X is counted on</w:t>
            </w:r>
            <w:r>
              <w:rPr>
                <w:sz w:val="16"/>
                <w:szCs w:val="18"/>
              </w:rPr>
              <w:t xml:space="preserve"> </w:t>
            </w:r>
            <w:r>
              <w:rPr>
                <w:color w:val="000000"/>
                <w:sz w:val="16"/>
                <w:szCs w:val="18"/>
              </w:rPr>
              <w:t>the reference cell.</w:t>
            </w:r>
          </w:p>
          <w:p w:rsidR="004B76EF" w:rsidRDefault="00774936">
            <w:pPr>
              <w:widowControl/>
              <w:numPr>
                <w:ilvl w:val="0"/>
                <w:numId w:val="2"/>
              </w:numPr>
              <w:overflowPunct w:val="0"/>
              <w:autoSpaceDE w:val="0"/>
              <w:autoSpaceDN w:val="0"/>
              <w:snapToGrid w:val="0"/>
              <w:textAlignment w:val="baseline"/>
              <w:rPr>
                <w:color w:val="000000"/>
                <w:sz w:val="16"/>
                <w:szCs w:val="18"/>
              </w:rPr>
            </w:pPr>
            <w:r>
              <w:rPr>
                <w:color w:val="FF0000"/>
                <w:sz w:val="16"/>
                <w:szCs w:val="18"/>
              </w:rPr>
              <w:t xml:space="preserve">Same </w:t>
            </w:r>
            <w:r>
              <w:rPr>
                <w:rFonts w:eastAsia="Times New Roman"/>
                <w:color w:val="7030A0"/>
                <w:sz w:val="16"/>
                <w:szCs w:val="18"/>
              </w:rPr>
              <w:t xml:space="preserve">reference cell is used for both </w:t>
            </w:r>
            <w:r>
              <w:rPr>
                <w:color w:val="000000"/>
                <w:sz w:val="16"/>
                <w:szCs w:val="18"/>
              </w:rPr>
              <w:t>DCI format 0_X and DCI format 1_X.</w:t>
            </w:r>
          </w:p>
          <w:p w:rsidR="004B76EF" w:rsidRDefault="00774936">
            <w:pPr>
              <w:widowControl/>
              <w:numPr>
                <w:ilvl w:val="0"/>
                <w:numId w:val="2"/>
              </w:numPr>
              <w:overflowPunct w:val="0"/>
              <w:autoSpaceDE w:val="0"/>
              <w:autoSpaceDN w:val="0"/>
              <w:snapToGrid w:val="0"/>
              <w:textAlignment w:val="baseline"/>
              <w:rPr>
                <w:color w:val="FF0000"/>
                <w:sz w:val="16"/>
                <w:szCs w:val="18"/>
              </w:rPr>
            </w:pPr>
            <w:r>
              <w:rPr>
                <w:color w:val="FF0000"/>
                <w:sz w:val="16"/>
                <w:szCs w:val="18"/>
                <w:lang w:eastAsia="ja-JP"/>
              </w:rPr>
              <w:t xml:space="preserve">The reference cell </w:t>
            </w:r>
            <w:r>
              <w:rPr>
                <w:color w:val="FF0000"/>
                <w:sz w:val="16"/>
                <w:szCs w:val="18"/>
                <w:lang w:eastAsia="ja-JP"/>
              </w:rPr>
              <w:t>is</w:t>
            </w:r>
          </w:p>
          <w:p w:rsidR="004B76EF" w:rsidRDefault="00774936">
            <w:pPr>
              <w:widowControl/>
              <w:numPr>
                <w:ilvl w:val="1"/>
                <w:numId w:val="2"/>
              </w:numPr>
              <w:overflowPunct w:val="0"/>
              <w:autoSpaceDE w:val="0"/>
              <w:autoSpaceDN w:val="0"/>
              <w:snapToGrid w:val="0"/>
              <w:textAlignment w:val="baseline"/>
              <w:rPr>
                <w:color w:val="FF0000"/>
                <w:sz w:val="16"/>
                <w:szCs w:val="18"/>
              </w:rPr>
            </w:pPr>
            <w:r>
              <w:rPr>
                <w:color w:val="FF0000"/>
                <w:sz w:val="16"/>
                <w:szCs w:val="18"/>
                <w:lang w:eastAsia="ja-JP"/>
              </w:rPr>
              <w:t xml:space="preserve">the scheduling cell if </w:t>
            </w:r>
            <w:r>
              <w:rPr>
                <w:color w:val="000000"/>
                <w:sz w:val="16"/>
                <w:szCs w:val="18"/>
                <w:lang w:eastAsia="ja-JP"/>
              </w:rPr>
              <w:t>the scheduling cell is included in the set of cells and search space of the DCI format 0_X/1_X is configured only on the scheduling cell;</w:t>
            </w:r>
          </w:p>
          <w:p w:rsidR="004B76EF" w:rsidRDefault="00774936">
            <w:pPr>
              <w:widowControl/>
              <w:numPr>
                <w:ilvl w:val="1"/>
                <w:numId w:val="2"/>
              </w:numPr>
              <w:overflowPunct w:val="0"/>
              <w:autoSpaceDE w:val="0"/>
              <w:autoSpaceDN w:val="0"/>
              <w:snapToGrid w:val="0"/>
              <w:textAlignment w:val="baseline"/>
              <w:rPr>
                <w:color w:val="000000"/>
                <w:sz w:val="16"/>
                <w:szCs w:val="18"/>
              </w:rPr>
            </w:pPr>
            <w:proofErr w:type="gramStart"/>
            <w:r>
              <w:rPr>
                <w:color w:val="000000"/>
                <w:sz w:val="16"/>
                <w:szCs w:val="18"/>
                <w:lang w:eastAsia="ja-JP"/>
              </w:rPr>
              <w:t>one</w:t>
            </w:r>
            <w:proofErr w:type="gramEnd"/>
            <w:r>
              <w:rPr>
                <w:color w:val="000000"/>
                <w:sz w:val="16"/>
                <w:szCs w:val="18"/>
                <w:lang w:eastAsia="ja-JP"/>
              </w:rPr>
              <w:t xml:space="preserve"> cell of the set of cells which search space of DCI format 0_X/1_X is configured on and a</w:t>
            </w:r>
            <w:r>
              <w:rPr>
                <w:color w:val="000000"/>
                <w:sz w:val="16"/>
                <w:szCs w:val="18"/>
                <w:lang w:eastAsia="ja-JP"/>
              </w:rPr>
              <w:t>ssociated with the search space of the scheduling cell with the same search space ID</w:t>
            </w:r>
            <w:r>
              <w:rPr>
                <w:color w:val="FF0000"/>
                <w:sz w:val="16"/>
                <w:szCs w:val="18"/>
                <w:lang w:eastAsia="ja-JP"/>
              </w:rPr>
              <w:t xml:space="preserve"> if </w:t>
            </w:r>
            <w:r>
              <w:rPr>
                <w:color w:val="000000"/>
                <w:sz w:val="16"/>
                <w:szCs w:val="18"/>
                <w:lang w:eastAsia="ja-JP"/>
              </w:rPr>
              <w:t>search space of the DCI format 0_X/1_X is configured on the cell in addition to the scheduling cell.</w:t>
            </w:r>
          </w:p>
          <w:p w:rsidR="004B76EF" w:rsidRDefault="00774936">
            <w:pPr>
              <w:widowControl/>
              <w:numPr>
                <w:ilvl w:val="2"/>
                <w:numId w:val="2"/>
              </w:numPr>
              <w:overflowPunct w:val="0"/>
              <w:autoSpaceDE w:val="0"/>
              <w:autoSpaceDN w:val="0"/>
              <w:snapToGrid w:val="0"/>
              <w:textAlignment w:val="baseline"/>
              <w:rPr>
                <w:color w:val="000000"/>
                <w:sz w:val="16"/>
                <w:szCs w:val="18"/>
              </w:rPr>
            </w:pPr>
            <w:r>
              <w:rPr>
                <w:color w:val="000000"/>
                <w:sz w:val="16"/>
                <w:szCs w:val="18"/>
              </w:rPr>
              <w:t xml:space="preserve">It is up to </w:t>
            </w:r>
            <w:proofErr w:type="spellStart"/>
            <w:r>
              <w:rPr>
                <w:color w:val="000000"/>
                <w:sz w:val="16"/>
                <w:szCs w:val="18"/>
              </w:rPr>
              <w:t>gNB</w:t>
            </w:r>
            <w:proofErr w:type="spellEnd"/>
            <w:r>
              <w:rPr>
                <w:color w:val="000000"/>
                <w:sz w:val="16"/>
                <w:szCs w:val="18"/>
              </w:rPr>
              <w:t xml:space="preserve"> on which cell the SS of the DCI format 0_X/1_X is c</w:t>
            </w:r>
            <w:r>
              <w:rPr>
                <w:color w:val="000000"/>
                <w:sz w:val="16"/>
                <w:szCs w:val="18"/>
              </w:rPr>
              <w:t>onfigured on.</w:t>
            </w:r>
          </w:p>
          <w:p w:rsidR="004B76EF" w:rsidRDefault="00774936">
            <w:pPr>
              <w:widowControl/>
              <w:numPr>
                <w:ilvl w:val="0"/>
                <w:numId w:val="2"/>
              </w:numPr>
              <w:overflowPunct w:val="0"/>
              <w:autoSpaceDE w:val="0"/>
              <w:autoSpaceDN w:val="0"/>
              <w:snapToGrid w:val="0"/>
              <w:textAlignment w:val="baseline"/>
              <w:rPr>
                <w:color w:val="000000"/>
                <w:sz w:val="16"/>
                <w:szCs w:val="18"/>
              </w:rPr>
            </w:pPr>
            <w:r>
              <w:rPr>
                <w:color w:val="000000"/>
                <w:sz w:val="16"/>
                <w:szCs w:val="18"/>
              </w:rPr>
              <w:t>To address Rel-17 BD/CCE limit for any given cell (operating the feature under Rel-17 BD/CCE limit)</w:t>
            </w:r>
          </w:p>
          <w:p w:rsidR="004B76EF" w:rsidRDefault="00774936">
            <w:pPr>
              <w:widowControl/>
              <w:numPr>
                <w:ilvl w:val="1"/>
                <w:numId w:val="2"/>
              </w:numPr>
              <w:overflowPunct w:val="0"/>
              <w:autoSpaceDE w:val="0"/>
              <w:autoSpaceDN w:val="0"/>
              <w:snapToGrid w:val="0"/>
              <w:rPr>
                <w:rFonts w:eastAsia="Times New Roman"/>
                <w:color w:val="FF0000"/>
                <w:sz w:val="16"/>
                <w:szCs w:val="18"/>
              </w:rPr>
            </w:pPr>
            <w:r>
              <w:rPr>
                <w:rFonts w:eastAsia="Times New Roman"/>
                <w:color w:val="FF0000"/>
                <w:sz w:val="16"/>
                <w:szCs w:val="18"/>
              </w:rPr>
              <w:t xml:space="preserve">For the reference cell, a total number of configured BD/CCEs for both DCI </w:t>
            </w:r>
            <w:proofErr w:type="gramStart"/>
            <w:r>
              <w:rPr>
                <w:rFonts w:eastAsia="Times New Roman"/>
                <w:color w:val="FF0000"/>
                <w:sz w:val="16"/>
                <w:szCs w:val="18"/>
              </w:rPr>
              <w:t>formats</w:t>
            </w:r>
            <w:proofErr w:type="gramEnd"/>
            <w:r>
              <w:rPr>
                <w:rFonts w:eastAsia="Times New Roman"/>
                <w:color w:val="FF0000"/>
                <w:sz w:val="16"/>
                <w:szCs w:val="18"/>
              </w:rPr>
              <w:t xml:space="preserve"> 0_X/1_X and legacy DCI formats (if configured) does not exce</w:t>
            </w:r>
            <w:r>
              <w:rPr>
                <w:rFonts w:eastAsia="Times New Roman"/>
                <w:color w:val="FF0000"/>
                <w:sz w:val="16"/>
                <w:szCs w:val="18"/>
              </w:rPr>
              <w:t xml:space="preserve">ed the Rel-17 limits. </w:t>
            </w:r>
          </w:p>
          <w:p w:rsidR="004B76EF" w:rsidRDefault="00774936">
            <w:pPr>
              <w:widowControl/>
              <w:numPr>
                <w:ilvl w:val="1"/>
                <w:numId w:val="2"/>
              </w:numPr>
              <w:overflowPunct w:val="0"/>
              <w:autoSpaceDE w:val="0"/>
              <w:autoSpaceDN w:val="0"/>
              <w:snapToGrid w:val="0"/>
              <w:rPr>
                <w:rFonts w:eastAsia="Times New Roman"/>
                <w:color w:val="FF0000"/>
                <w:sz w:val="16"/>
                <w:szCs w:val="18"/>
              </w:rPr>
            </w:pPr>
            <w:r>
              <w:rPr>
                <w:rFonts w:eastAsia="Times New Roman"/>
                <w:color w:val="FF0000"/>
                <w:sz w:val="16"/>
                <w:szCs w:val="18"/>
              </w:rPr>
              <w:t>For other cells in the sets of cells, Rel-17 limits for PDCCH/DCI monitoring and BD/CCE counting rules for legacy DCI formats (not including DCI formats 0_X/1_X) apply</w:t>
            </w:r>
          </w:p>
          <w:p w:rsidR="004B76EF" w:rsidRDefault="00774936">
            <w:pPr>
              <w:widowControl/>
              <w:numPr>
                <w:ilvl w:val="0"/>
                <w:numId w:val="2"/>
              </w:numPr>
              <w:kinsoku w:val="0"/>
              <w:overflowPunct w:val="0"/>
              <w:adjustRightInd w:val="0"/>
              <w:jc w:val="left"/>
              <w:textAlignment w:val="baseline"/>
              <w:rPr>
                <w:rFonts w:eastAsia="KaiTi"/>
                <w:strike/>
                <w:color w:val="FF0000"/>
                <w:sz w:val="16"/>
                <w:szCs w:val="18"/>
              </w:rPr>
            </w:pPr>
            <w:r>
              <w:rPr>
                <w:rFonts w:eastAsia="MS Mincho"/>
                <w:bCs/>
                <w:strike/>
                <w:color w:val="FF0000"/>
                <w:sz w:val="16"/>
                <w:szCs w:val="18"/>
                <w:lang w:eastAsia="ja-JP"/>
              </w:rPr>
              <w:t>Note: This does not mean a UE is required to support number of BD</w:t>
            </w:r>
            <w:r>
              <w:rPr>
                <w:rFonts w:eastAsia="MS Mincho"/>
                <w:bCs/>
                <w:strike/>
                <w:color w:val="FF0000"/>
                <w:sz w:val="16"/>
                <w:szCs w:val="18"/>
                <w:lang w:eastAsia="ja-JP"/>
              </w:rPr>
              <w:t xml:space="preserve">s/CCEs beyond the Rel-17 limits (i.e., </w:t>
            </w:r>
            <m:oMath>
              <m:sSubSup>
                <m:sSubSupPr>
                  <m:ctrlPr>
                    <w:rPr>
                      <w:rFonts w:ascii="Cambria Math" w:hAnsi="Cambria Math"/>
                      <w:color w:val="000000"/>
                      <w:sz w:val="16"/>
                      <w:szCs w:val="18"/>
                    </w:rPr>
                  </m:ctrlPr>
                </m:sSubSupPr>
                <m:e>
                  <m:r>
                    <w:rPr>
                      <w:rFonts w:ascii="Cambria Math" w:hAnsi="Cambria Math"/>
                      <w:color w:val="000000"/>
                      <w:sz w:val="16"/>
                      <w:szCs w:val="18"/>
                    </w:rPr>
                    <m:t>M</m:t>
                  </m:r>
                </m:e>
                <m:sub>
                  <m:r>
                    <m:rPr>
                      <m:sty m:val="p"/>
                    </m:rPr>
                    <w:rPr>
                      <w:rFonts w:ascii="Cambria Math" w:hAnsi="Cambria Math"/>
                      <w:color w:val="000000"/>
                      <w:sz w:val="16"/>
                      <w:szCs w:val="18"/>
                    </w:rPr>
                    <m:t>PDCCH</m:t>
                  </m:r>
                </m:sub>
                <m:sup>
                  <m:r>
                    <m:rPr>
                      <m:sty m:val="p"/>
                    </m:rPr>
                    <w:rPr>
                      <w:rFonts w:ascii="Cambria Math" w:hAnsi="Cambria Math"/>
                      <w:color w:val="000000"/>
                      <w:sz w:val="16"/>
                      <w:szCs w:val="18"/>
                    </w:rPr>
                    <m:t>max,slot,</m:t>
                  </m:r>
                  <m:r>
                    <w:rPr>
                      <w:rFonts w:ascii="Cambria Math" w:hAnsi="Cambria Math"/>
                      <w:color w:val="000000"/>
                      <w:sz w:val="16"/>
                      <w:szCs w:val="18"/>
                    </w:rPr>
                    <m:t>μ</m:t>
                  </m:r>
                </m:sup>
              </m:sSubSup>
              <m:r>
                <m:rPr>
                  <m:sty m:val="p"/>
                </m:rPr>
                <w:rPr>
                  <w:rFonts w:ascii="Cambria Math" w:hAnsi="Cambria Math"/>
                  <w:color w:val="000000"/>
                  <w:sz w:val="16"/>
                  <w:szCs w:val="18"/>
                </w:rPr>
                <m:t xml:space="preserve">, </m:t>
              </m:r>
              <m:sSubSup>
                <m:sSubSupPr>
                  <m:ctrlPr>
                    <w:rPr>
                      <w:rFonts w:ascii="Cambria Math" w:hAnsi="Cambria Math"/>
                      <w:color w:val="000000"/>
                      <w:sz w:val="16"/>
                      <w:szCs w:val="18"/>
                    </w:rPr>
                  </m:ctrlPr>
                </m:sSubSupPr>
                <m:e>
                  <m:r>
                    <w:rPr>
                      <w:rFonts w:ascii="Cambria Math" w:hAnsi="Cambria Math"/>
                      <w:color w:val="000000"/>
                      <w:sz w:val="16"/>
                      <w:szCs w:val="18"/>
                    </w:rPr>
                    <m:t>C</m:t>
                  </m:r>
                </m:e>
                <m:sub>
                  <m:r>
                    <m:rPr>
                      <m:sty m:val="p"/>
                    </m:rPr>
                    <w:rPr>
                      <w:rFonts w:ascii="Cambria Math" w:hAnsi="Cambria Math"/>
                      <w:color w:val="000000"/>
                      <w:sz w:val="16"/>
                      <w:szCs w:val="18"/>
                    </w:rPr>
                    <m:t>PDCCH</m:t>
                  </m:r>
                </m:sub>
                <m:sup>
                  <m:r>
                    <m:rPr>
                      <m:sty m:val="p"/>
                    </m:rPr>
                    <w:rPr>
                      <w:rFonts w:ascii="Cambria Math" w:hAnsi="Cambria Math"/>
                      <w:color w:val="000000"/>
                      <w:sz w:val="16"/>
                      <w:szCs w:val="18"/>
                    </w:rPr>
                    <m:t>max,slot,</m:t>
                  </m:r>
                  <m:r>
                    <w:rPr>
                      <w:rFonts w:ascii="Cambria Math" w:hAnsi="Cambria Math"/>
                      <w:color w:val="000000"/>
                      <w:sz w:val="16"/>
                      <w:szCs w:val="18"/>
                    </w:rPr>
                    <m:t>μ</m:t>
                  </m:r>
                </m:sup>
              </m:sSubSup>
              <m:r>
                <m:rPr>
                  <m:sty m:val="p"/>
                </m:rPr>
                <w:rPr>
                  <w:rFonts w:ascii="Cambria Math" w:hAnsi="Cambria Math"/>
                  <w:color w:val="000000"/>
                  <w:sz w:val="16"/>
                  <w:szCs w:val="18"/>
                </w:rPr>
                <m:t xml:space="preserve">, </m:t>
              </m:r>
              <m:sSubSup>
                <m:sSubSupPr>
                  <m:ctrlPr>
                    <w:rPr>
                      <w:rFonts w:ascii="Cambria Math" w:hAnsi="Cambria Math"/>
                      <w:i/>
                      <w:iCs/>
                      <w:color w:val="000000"/>
                      <w:sz w:val="16"/>
                      <w:szCs w:val="18"/>
                    </w:rPr>
                  </m:ctrlPr>
                </m:sSubSupPr>
                <m:e>
                  <m:r>
                    <w:rPr>
                      <w:rFonts w:ascii="Cambria Math" w:hAnsi="Cambria Math"/>
                      <w:color w:val="000000"/>
                      <w:sz w:val="16"/>
                      <w:szCs w:val="18"/>
                    </w:rPr>
                    <m:t>M</m:t>
                  </m:r>
                </m:e>
                <m:sub>
                  <m:r>
                    <m:rPr>
                      <m:nor/>
                    </m:rPr>
                    <w:rPr>
                      <w:color w:val="000000"/>
                      <w:sz w:val="16"/>
                      <w:szCs w:val="18"/>
                    </w:rPr>
                    <m:t>PDCCH</m:t>
                  </m:r>
                  <m:ctrlPr>
                    <w:rPr>
                      <w:rFonts w:ascii="Cambria Math" w:hAnsi="Cambria Math"/>
                      <w:color w:val="000000"/>
                      <w:sz w:val="16"/>
                      <w:szCs w:val="18"/>
                    </w:rPr>
                  </m:ctrlPr>
                </m:sub>
                <m:sup>
                  <w:proofErr w:type="spellStart"/>
                  <m:r>
                    <m:rPr>
                      <m:nor/>
                    </m:rPr>
                    <w:rPr>
                      <w:color w:val="000000"/>
                      <w:sz w:val="16"/>
                      <w:szCs w:val="18"/>
                    </w:rPr>
                    <m:t>total</m:t>
                  </m:r>
                  <w:proofErr w:type="gramStart"/>
                  <m:r>
                    <m:rPr>
                      <m:nor/>
                    </m:rPr>
                    <w:rPr>
                      <w:color w:val="000000"/>
                      <w:sz w:val="16"/>
                      <w:szCs w:val="18"/>
                    </w:rPr>
                    <m:t>,slot</m:t>
                  </m:r>
                  <w:proofErr w:type="spellEnd"/>
                  <w:proofErr w:type="gramEnd"/>
                  <m:r>
                    <m:rPr>
                      <m:nor/>
                    </m:rPr>
                    <w:rPr>
                      <w:color w:val="000000"/>
                      <w:sz w:val="16"/>
                      <w:szCs w:val="18"/>
                    </w:rPr>
                    <m:t>,</m:t>
                  </m:r>
                  <m:r>
                    <w:rPr>
                      <w:rFonts w:ascii="Cambria Math" w:hAnsi="Cambria Math"/>
                      <w:color w:val="000000"/>
                      <w:sz w:val="16"/>
                      <w:szCs w:val="18"/>
                    </w:rPr>
                    <m:t>μ</m:t>
                  </m:r>
                  <m:ctrlPr>
                    <w:rPr>
                      <w:rFonts w:ascii="Cambria Math" w:hAnsi="Cambria Math"/>
                      <w:color w:val="000000"/>
                      <w:sz w:val="16"/>
                      <w:szCs w:val="18"/>
                    </w:rPr>
                  </m:ctrlPr>
                </m:sup>
              </m:sSubSup>
            </m:oMath>
            <w:r>
              <w:rPr>
                <w:rFonts w:eastAsia="Times New Roman"/>
                <w:strike/>
                <w:color w:val="FF0000"/>
                <w:sz w:val="16"/>
                <w:szCs w:val="18"/>
              </w:rPr>
              <w:t xml:space="preserve"> and </w:t>
            </w:r>
            <m:oMath>
              <m:sSubSup>
                <m:sSubSupPr>
                  <m:ctrlPr>
                    <w:rPr>
                      <w:rFonts w:ascii="Cambria Math" w:hAnsi="Cambria Math"/>
                      <w:i/>
                      <w:iCs/>
                      <w:color w:val="000000"/>
                      <w:sz w:val="16"/>
                      <w:szCs w:val="18"/>
                    </w:rPr>
                  </m:ctrlPr>
                </m:sSubSupPr>
                <m:e>
                  <m:r>
                    <w:rPr>
                      <w:rFonts w:ascii="Cambria Math" w:hAnsi="Cambria Math"/>
                      <w:color w:val="000000"/>
                      <w:sz w:val="16"/>
                      <w:szCs w:val="18"/>
                    </w:rPr>
                    <m:t>C</m:t>
                  </m:r>
                </m:e>
                <m:sub>
                  <m:r>
                    <m:rPr>
                      <m:nor/>
                    </m:rPr>
                    <w:rPr>
                      <w:color w:val="000000"/>
                      <w:sz w:val="16"/>
                      <w:szCs w:val="18"/>
                    </w:rPr>
                    <m:t>PDCCH</m:t>
                  </m:r>
                  <m:ctrlPr>
                    <w:rPr>
                      <w:rFonts w:ascii="Cambria Math" w:hAnsi="Cambria Math"/>
                      <w:color w:val="000000"/>
                      <w:sz w:val="16"/>
                      <w:szCs w:val="18"/>
                    </w:rPr>
                  </m:ctrlPr>
                </m:sub>
                <m:sup>
                  <w:proofErr w:type="spellStart"/>
                  <m:r>
                    <m:rPr>
                      <m:nor/>
                    </m:rPr>
                    <w:rPr>
                      <w:color w:val="000000"/>
                      <w:sz w:val="16"/>
                      <w:szCs w:val="18"/>
                    </w:rPr>
                    <m:t>total,slot</m:t>
                  </m:r>
                  <w:proofErr w:type="spellEnd"/>
                  <m:r>
                    <m:rPr>
                      <m:nor/>
                    </m:rPr>
                    <w:rPr>
                      <w:color w:val="000000"/>
                      <w:sz w:val="16"/>
                      <w:szCs w:val="18"/>
                    </w:rPr>
                    <m:t>,</m:t>
                  </m:r>
                  <m:r>
                    <w:rPr>
                      <w:rFonts w:ascii="Cambria Math" w:hAnsi="Cambria Math"/>
                      <w:color w:val="000000"/>
                      <w:sz w:val="16"/>
                      <w:szCs w:val="18"/>
                    </w:rPr>
                    <m:t>μ</m:t>
                  </m:r>
                  <m:ctrlPr>
                    <w:rPr>
                      <w:rFonts w:ascii="Cambria Math" w:hAnsi="Cambria Math"/>
                      <w:color w:val="000000"/>
                      <w:sz w:val="16"/>
                      <w:szCs w:val="18"/>
                    </w:rPr>
                  </m:ctrlPr>
                </m:sup>
              </m:sSubSup>
            </m:oMath>
            <w:r>
              <w:rPr>
                <w:rFonts w:eastAsia="MS Mincho"/>
                <w:strike/>
                <w:color w:val="FF0000"/>
                <w:sz w:val="16"/>
                <w:szCs w:val="18"/>
                <w:lang w:eastAsia="ja-JP"/>
              </w:rPr>
              <w:t>) for PDCCH candidates for each scheduled cell.</w:t>
            </w:r>
          </w:p>
          <w:p w:rsidR="004B76EF" w:rsidRDefault="004B76EF">
            <w:pPr>
              <w:rPr>
                <w:sz w:val="16"/>
              </w:rPr>
            </w:pPr>
          </w:p>
          <w:p w:rsidR="004B76EF" w:rsidRDefault="00774936">
            <w:pPr>
              <w:rPr>
                <w:rFonts w:cs="Times"/>
                <w:sz w:val="16"/>
                <w:highlight w:val="green"/>
              </w:rPr>
            </w:pPr>
            <w:r>
              <w:rPr>
                <w:rFonts w:cs="Times"/>
                <w:sz w:val="16"/>
                <w:highlight w:val="green"/>
              </w:rPr>
              <w:t>Agreement:</w:t>
            </w:r>
          </w:p>
          <w:p w:rsidR="004B76EF" w:rsidRDefault="00774936">
            <w:pPr>
              <w:pStyle w:val="ListParagraph"/>
              <w:widowControl/>
              <w:numPr>
                <w:ilvl w:val="0"/>
                <w:numId w:val="3"/>
              </w:numPr>
              <w:overflowPunct w:val="0"/>
              <w:autoSpaceDE w:val="0"/>
              <w:autoSpaceDN w:val="0"/>
              <w:adjustRightInd w:val="0"/>
              <w:ind w:left="851" w:firstLineChars="0"/>
              <w:contextualSpacing/>
              <w:jc w:val="left"/>
              <w:textAlignment w:val="baseline"/>
              <w:rPr>
                <w:sz w:val="16"/>
              </w:rPr>
            </w:pPr>
            <w:r>
              <w:rPr>
                <w:sz w:val="16"/>
              </w:rPr>
              <w:t xml:space="preserve">For a set of cells which is configured for multi-cell scheduling, up to </w:t>
            </w:r>
            <w:r>
              <w:rPr>
                <w:sz w:val="16"/>
              </w:rPr>
              <w:t>4 cells within the set of cells are supported.</w:t>
            </w:r>
          </w:p>
          <w:p w:rsidR="004B76EF" w:rsidRDefault="00774936">
            <w:pPr>
              <w:pStyle w:val="ListParagraph"/>
              <w:widowControl/>
              <w:numPr>
                <w:ilvl w:val="1"/>
                <w:numId w:val="3"/>
              </w:numPr>
              <w:overflowPunct w:val="0"/>
              <w:autoSpaceDE w:val="0"/>
              <w:autoSpaceDN w:val="0"/>
              <w:adjustRightInd w:val="0"/>
              <w:ind w:left="1418" w:firstLineChars="0"/>
              <w:contextualSpacing/>
              <w:jc w:val="left"/>
              <w:textAlignment w:val="baseline"/>
              <w:rPr>
                <w:rFonts w:eastAsia="KaiTi"/>
                <w:sz w:val="16"/>
              </w:rPr>
            </w:pPr>
            <w:r>
              <w:rPr>
                <w:rFonts w:eastAsia="KaiTi"/>
                <w:sz w:val="16"/>
              </w:rPr>
              <w:t>A DCI format 0_X/1_X can schedule PUSCH(s)/PDSCH(s) on a combination of co-scheduled cells among the same set of cells.</w:t>
            </w:r>
          </w:p>
          <w:p w:rsidR="004B76EF" w:rsidRDefault="00774936">
            <w:pPr>
              <w:tabs>
                <w:tab w:val="left" w:pos="3165"/>
              </w:tabs>
              <w:rPr>
                <w:rFonts w:eastAsia="MS Mincho"/>
                <w:sz w:val="16"/>
                <w:szCs w:val="20"/>
                <w:highlight w:val="green"/>
                <w:lang w:val="en-AU"/>
              </w:rPr>
            </w:pPr>
            <w:r>
              <w:rPr>
                <w:rFonts w:eastAsia="MS Mincho"/>
                <w:sz w:val="16"/>
                <w:szCs w:val="20"/>
                <w:highlight w:val="green"/>
                <w:lang w:val="en-AU"/>
              </w:rPr>
              <w:t>Agreement</w:t>
            </w:r>
          </w:p>
          <w:p w:rsidR="004B76EF" w:rsidRDefault="00774936">
            <w:pPr>
              <w:snapToGrid w:val="0"/>
              <w:rPr>
                <w:rFonts w:eastAsia="Malgun Gothic"/>
                <w:sz w:val="16"/>
                <w:szCs w:val="20"/>
              </w:rPr>
            </w:pPr>
            <w:r>
              <w:rPr>
                <w:sz w:val="16"/>
                <w:szCs w:val="20"/>
              </w:rPr>
              <w:t xml:space="preserve">For DCI format 1_X/0_X, </w:t>
            </w:r>
          </w:p>
          <w:p w:rsidR="004B76EF" w:rsidRDefault="00774936">
            <w:pPr>
              <w:widowControl/>
              <w:numPr>
                <w:ilvl w:val="0"/>
                <w:numId w:val="4"/>
              </w:numPr>
              <w:snapToGrid w:val="0"/>
              <w:jc w:val="left"/>
              <w:rPr>
                <w:rFonts w:eastAsia="Times New Roman"/>
                <w:sz w:val="16"/>
                <w:szCs w:val="20"/>
              </w:rPr>
            </w:pPr>
            <w:r>
              <w:rPr>
                <w:rFonts w:eastAsia="Times New Roman"/>
                <w:sz w:val="16"/>
                <w:szCs w:val="20"/>
              </w:rPr>
              <w:t>Type-1 fields at least include below:</w:t>
            </w:r>
          </w:p>
          <w:p w:rsidR="004B76EF" w:rsidRDefault="00774936">
            <w:pPr>
              <w:widowControl/>
              <w:numPr>
                <w:ilvl w:val="1"/>
                <w:numId w:val="4"/>
              </w:numPr>
              <w:snapToGrid w:val="0"/>
              <w:jc w:val="left"/>
              <w:rPr>
                <w:rFonts w:eastAsia="Times New Roman"/>
                <w:sz w:val="16"/>
                <w:szCs w:val="20"/>
              </w:rPr>
            </w:pPr>
            <w:proofErr w:type="spellStart"/>
            <w:r>
              <w:rPr>
                <w:rFonts w:eastAsia="Times New Roman"/>
                <w:sz w:val="16"/>
                <w:szCs w:val="20"/>
              </w:rPr>
              <w:t>ChannelAccess-Cp</w:t>
            </w:r>
            <w:r>
              <w:rPr>
                <w:rFonts w:eastAsia="Times New Roman"/>
                <w:sz w:val="16"/>
                <w:szCs w:val="20"/>
              </w:rPr>
              <w:t>ext</w:t>
            </w:r>
            <w:proofErr w:type="spellEnd"/>
          </w:p>
          <w:p w:rsidR="004B76EF" w:rsidRDefault="00774936">
            <w:pPr>
              <w:widowControl/>
              <w:numPr>
                <w:ilvl w:val="1"/>
                <w:numId w:val="4"/>
              </w:numPr>
              <w:snapToGrid w:val="0"/>
              <w:jc w:val="left"/>
              <w:rPr>
                <w:rFonts w:eastAsia="Times New Roman"/>
                <w:sz w:val="16"/>
                <w:szCs w:val="20"/>
              </w:rPr>
            </w:pPr>
            <w:r>
              <w:rPr>
                <w:rFonts w:eastAsia="Times New Roman"/>
                <w:sz w:val="16"/>
                <w:szCs w:val="20"/>
              </w:rPr>
              <w:t>TDRA</w:t>
            </w:r>
          </w:p>
          <w:p w:rsidR="004B76EF" w:rsidRDefault="00774936">
            <w:pPr>
              <w:widowControl/>
              <w:numPr>
                <w:ilvl w:val="0"/>
                <w:numId w:val="4"/>
              </w:numPr>
              <w:snapToGrid w:val="0"/>
              <w:jc w:val="left"/>
              <w:rPr>
                <w:rFonts w:eastAsia="Times New Roman"/>
                <w:sz w:val="16"/>
                <w:szCs w:val="20"/>
              </w:rPr>
            </w:pPr>
            <w:r>
              <w:rPr>
                <w:rFonts w:eastAsia="Times New Roman"/>
                <w:sz w:val="16"/>
                <w:szCs w:val="20"/>
              </w:rPr>
              <w:t xml:space="preserve">Below fields are agreed to be supported for DCI format 0_X/1_X. FFS: Whether the fields are type1, type2, type configurable, </w:t>
            </w:r>
            <w:r>
              <w:rPr>
                <w:rFonts w:eastAsia="Times New Roman"/>
                <w:color w:val="FF0000"/>
                <w:sz w:val="16"/>
                <w:szCs w:val="20"/>
              </w:rPr>
              <w:t>or omitted</w:t>
            </w:r>
            <w:r>
              <w:rPr>
                <w:rFonts w:eastAsia="Times New Roman"/>
                <w:sz w:val="16"/>
                <w:szCs w:val="20"/>
              </w:rPr>
              <w:t>. FFS: details on the fields (e.g. length, which legacy configurations are applicable), other fields.</w:t>
            </w:r>
          </w:p>
          <w:p w:rsidR="004B76EF" w:rsidRDefault="00774936">
            <w:pPr>
              <w:widowControl/>
              <w:numPr>
                <w:ilvl w:val="1"/>
                <w:numId w:val="4"/>
              </w:numPr>
              <w:snapToGrid w:val="0"/>
              <w:jc w:val="left"/>
              <w:rPr>
                <w:rFonts w:eastAsia="Times New Roman"/>
                <w:color w:val="FF0000"/>
                <w:sz w:val="16"/>
                <w:szCs w:val="20"/>
              </w:rPr>
            </w:pPr>
            <w:r>
              <w:rPr>
                <w:rFonts w:eastAsia="Times New Roman"/>
                <w:color w:val="FF0000"/>
                <w:sz w:val="16"/>
                <w:szCs w:val="20"/>
                <w:lang w:eastAsia="ja-JP"/>
              </w:rPr>
              <w:t xml:space="preserve">HARQ </w:t>
            </w:r>
            <w:r>
              <w:rPr>
                <w:rFonts w:eastAsia="Times New Roman"/>
                <w:color w:val="FF0000"/>
                <w:sz w:val="16"/>
                <w:szCs w:val="20"/>
                <w:lang w:eastAsia="ja-JP"/>
              </w:rPr>
              <w:t>process number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MCS (</w:t>
            </w:r>
            <w:r>
              <w:rPr>
                <w:rFonts w:eastAsia="Times New Roman"/>
                <w:color w:val="FF0000"/>
                <w:sz w:val="16"/>
                <w:szCs w:val="20"/>
              </w:rPr>
              <w:t>FFS: potential compression scheme</w:t>
            </w:r>
            <w:r>
              <w:rPr>
                <w:rFonts w:eastAsia="Times New Roman"/>
                <w:sz w:val="16"/>
                <w:szCs w:val="20"/>
              </w:rPr>
              <w:t>)</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 xml:space="preserve">Bandwidth part indicator </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Frequency domain resource assignment (</w:t>
            </w:r>
            <w:r>
              <w:rPr>
                <w:rFonts w:eastAsia="Times New Roman"/>
                <w:color w:val="FF0000"/>
                <w:sz w:val="16"/>
                <w:szCs w:val="20"/>
              </w:rPr>
              <w:t>FFS: potential compression scheme</w:t>
            </w:r>
            <w:r>
              <w:rPr>
                <w:rFonts w:eastAsia="Times New Roman"/>
                <w:sz w:val="16"/>
                <w:szCs w:val="20"/>
              </w:rPr>
              <w:t>)</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VRB-to-PRB mapping</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PRB bundling size indicator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Rate matching indicator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ZP CSI-RS trigger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 xml:space="preserve">Antenna </w:t>
            </w:r>
            <w:r>
              <w:rPr>
                <w:rFonts w:eastAsia="Times New Roman"/>
                <w:sz w:val="16"/>
                <w:szCs w:val="20"/>
              </w:rPr>
              <w:t>port(s)</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Transmission configuration indication</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lastRenderedPageBreak/>
              <w:t>DMRS sequence initialization</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Frequency hopping flag</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TPC command for scheduled PUSCH</w:t>
            </w:r>
          </w:p>
          <w:p w:rsidR="004B76EF" w:rsidRDefault="00774936">
            <w:pPr>
              <w:widowControl/>
              <w:numPr>
                <w:ilvl w:val="1"/>
                <w:numId w:val="4"/>
              </w:numPr>
              <w:snapToGrid w:val="0"/>
              <w:jc w:val="left"/>
              <w:rPr>
                <w:rFonts w:eastAsia="Times New Roman"/>
                <w:sz w:val="16"/>
                <w:szCs w:val="20"/>
              </w:rPr>
            </w:pPr>
            <w:proofErr w:type="spellStart"/>
            <w:r>
              <w:rPr>
                <w:rFonts w:eastAsia="Times New Roman"/>
                <w:sz w:val="16"/>
                <w:szCs w:val="20"/>
              </w:rPr>
              <w:t>Precoding</w:t>
            </w:r>
            <w:proofErr w:type="spellEnd"/>
            <w:r>
              <w:rPr>
                <w:rFonts w:eastAsia="Times New Roman"/>
                <w:sz w:val="16"/>
                <w:szCs w:val="20"/>
              </w:rPr>
              <w:t xml:space="preserve"> information and number of layers</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PTRS-DMRS association</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SRS request</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SRS resource indicator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SRS offset indicator</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PTRS-</w:t>
            </w:r>
            <w:r>
              <w:rPr>
                <w:rFonts w:eastAsia="Times New Roman"/>
                <w:sz w:val="16"/>
                <w:szCs w:val="20"/>
              </w:rPr>
              <w:t>DMRS association</w:t>
            </w:r>
          </w:p>
          <w:p w:rsidR="004B76EF" w:rsidRDefault="00774936">
            <w:pPr>
              <w:widowControl/>
              <w:numPr>
                <w:ilvl w:val="1"/>
                <w:numId w:val="4"/>
              </w:numPr>
              <w:snapToGrid w:val="0"/>
              <w:jc w:val="left"/>
              <w:rPr>
                <w:rFonts w:eastAsia="Times New Roman"/>
                <w:sz w:val="16"/>
                <w:szCs w:val="20"/>
              </w:rPr>
            </w:pPr>
            <w:r>
              <w:rPr>
                <w:rFonts w:eastAsia="Times New Roman"/>
                <w:sz w:val="16"/>
                <w:szCs w:val="20"/>
              </w:rPr>
              <w:t>Open-loop power control parameter set indication</w:t>
            </w:r>
          </w:p>
          <w:p w:rsidR="004B76EF" w:rsidRDefault="00774936">
            <w:pPr>
              <w:widowControl/>
              <w:numPr>
                <w:ilvl w:val="1"/>
                <w:numId w:val="4"/>
              </w:numPr>
              <w:snapToGrid w:val="0"/>
              <w:jc w:val="left"/>
              <w:rPr>
                <w:rFonts w:eastAsia="Times New Roman"/>
                <w:color w:val="FF0000"/>
                <w:sz w:val="16"/>
                <w:szCs w:val="20"/>
              </w:rPr>
            </w:pPr>
            <w:r>
              <w:rPr>
                <w:rFonts w:eastAsia="Times New Roman"/>
                <w:color w:val="FF0000"/>
                <w:sz w:val="16"/>
                <w:szCs w:val="20"/>
              </w:rPr>
              <w:t>UL/SUL indicator</w:t>
            </w:r>
          </w:p>
          <w:p w:rsidR="004B76EF" w:rsidRDefault="00774936">
            <w:pPr>
              <w:rPr>
                <w:sz w:val="16"/>
                <w:szCs w:val="20"/>
              </w:rPr>
            </w:pPr>
            <w:r>
              <w:rPr>
                <w:sz w:val="16"/>
                <w:szCs w:val="20"/>
              </w:rPr>
              <w:t>Note: RAN1 strives to minimize the number of fields which are type configurable.</w:t>
            </w:r>
          </w:p>
          <w:p w:rsidR="004B76EF" w:rsidRDefault="004B76EF">
            <w:pPr>
              <w:rPr>
                <w:sz w:val="16"/>
                <w:szCs w:val="20"/>
              </w:rPr>
            </w:pPr>
          </w:p>
          <w:p w:rsidR="004B76EF" w:rsidRDefault="00774936">
            <w:pPr>
              <w:tabs>
                <w:tab w:val="left" w:pos="3165"/>
              </w:tabs>
              <w:rPr>
                <w:rFonts w:eastAsia="MS Mincho"/>
                <w:sz w:val="16"/>
                <w:szCs w:val="20"/>
                <w:highlight w:val="green"/>
                <w:lang w:val="en-AU"/>
              </w:rPr>
            </w:pPr>
            <w:r>
              <w:rPr>
                <w:rFonts w:eastAsia="MS Mincho"/>
                <w:sz w:val="16"/>
                <w:szCs w:val="20"/>
                <w:highlight w:val="green"/>
                <w:lang w:val="en-AU"/>
              </w:rPr>
              <w:t>Agreement</w:t>
            </w:r>
          </w:p>
          <w:p w:rsidR="004B76EF" w:rsidRDefault="00774936">
            <w:pPr>
              <w:overflowPunct w:val="0"/>
              <w:snapToGrid w:val="0"/>
              <w:rPr>
                <w:rFonts w:eastAsia="Times New Roman"/>
                <w:sz w:val="16"/>
                <w:szCs w:val="20"/>
              </w:rPr>
            </w:pPr>
            <w:r>
              <w:rPr>
                <w:rFonts w:eastAsia="Times New Roman"/>
                <w:sz w:val="16"/>
                <w:szCs w:val="20"/>
              </w:rPr>
              <w:t>For monitoring PDCCH candidates for a set of cells which is configured for multi-</w:t>
            </w:r>
            <w:r>
              <w:rPr>
                <w:rFonts w:eastAsia="Times New Roman"/>
                <w:sz w:val="16"/>
                <w:szCs w:val="20"/>
              </w:rPr>
              <w:t xml:space="preserve">cell scheduling, the </w:t>
            </w:r>
            <w:proofErr w:type="spellStart"/>
            <w:r>
              <w:rPr>
                <w:rFonts w:eastAsia="Times New Roman"/>
                <w:sz w:val="16"/>
                <w:szCs w:val="20"/>
              </w:rPr>
              <w:t>n_CI</w:t>
            </w:r>
            <w:proofErr w:type="spellEnd"/>
            <w:r>
              <w:rPr>
                <w:rFonts w:eastAsia="Times New Roman"/>
                <w:sz w:val="16"/>
                <w:szCs w:val="20"/>
              </w:rPr>
              <w:t xml:space="preserve"> in the search space equation is determined by a value configured for the set of cells by RRC signaling.</w:t>
            </w:r>
          </w:p>
          <w:p w:rsidR="004B76EF" w:rsidRDefault="004B76EF">
            <w:pPr>
              <w:rPr>
                <w:sz w:val="16"/>
              </w:rPr>
            </w:pPr>
          </w:p>
          <w:p w:rsidR="004B76EF" w:rsidRDefault="00774936">
            <w:pPr>
              <w:rPr>
                <w:sz w:val="16"/>
                <w:highlight w:val="green"/>
              </w:rPr>
            </w:pPr>
            <w:r>
              <w:rPr>
                <w:sz w:val="16"/>
                <w:highlight w:val="green"/>
              </w:rPr>
              <w:t>Agreement</w:t>
            </w:r>
          </w:p>
          <w:p w:rsidR="004B76EF" w:rsidRDefault="00774936">
            <w:pPr>
              <w:rPr>
                <w:sz w:val="16"/>
              </w:rPr>
            </w:pPr>
            <w:r>
              <w:rPr>
                <w:sz w:val="16"/>
              </w:rPr>
              <w:t>The types for below fields in DCI format 1_X are listed (</w:t>
            </w:r>
            <w:hyperlink r:id="rId7" w:history="1">
              <w:r>
                <w:rPr>
                  <w:rStyle w:val="Hyperlink"/>
                  <w:sz w:val="16"/>
                </w:rPr>
                <w:t>R1-2212924</w:t>
              </w:r>
            </w:hyperlink>
            <w:r>
              <w:rPr>
                <w:sz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0"/>
              <w:gridCol w:w="4269"/>
              <w:gridCol w:w="2085"/>
            </w:tblGrid>
            <w:tr w:rsidR="004B76EF">
              <w:tc>
                <w:tcPr>
                  <w:tcW w:w="1404" w:type="pct"/>
                  <w:shd w:val="clear" w:color="auto" w:fill="auto"/>
                </w:tcPr>
                <w:p w:rsidR="004B76EF" w:rsidRDefault="00774936">
                  <w:pPr>
                    <w:rPr>
                      <w:rFonts w:ascii="Arial" w:hAnsi="Arial" w:cs="Arial"/>
                      <w:b/>
                      <w:bCs/>
                      <w:sz w:val="16"/>
                      <w:szCs w:val="16"/>
                    </w:rPr>
                  </w:pPr>
                  <w:r>
                    <w:rPr>
                      <w:rFonts w:ascii="Arial" w:hAnsi="Arial" w:cs="Arial"/>
                      <w:b/>
                      <w:bCs/>
                      <w:sz w:val="16"/>
                      <w:szCs w:val="16"/>
                    </w:rPr>
                    <w:t xml:space="preserve">Field </w:t>
                  </w:r>
                </w:p>
              </w:tc>
              <w:tc>
                <w:tcPr>
                  <w:tcW w:w="2416" w:type="pct"/>
                  <w:shd w:val="clear" w:color="auto" w:fill="auto"/>
                </w:tcPr>
                <w:p w:rsidR="004B76EF" w:rsidRDefault="00774936">
                  <w:pPr>
                    <w:rPr>
                      <w:rFonts w:ascii="Arial" w:hAnsi="Arial" w:cs="Arial"/>
                      <w:b/>
                      <w:bCs/>
                      <w:sz w:val="16"/>
                      <w:szCs w:val="16"/>
                    </w:rPr>
                  </w:pPr>
                  <w:r>
                    <w:rPr>
                      <w:rFonts w:ascii="Arial" w:hAnsi="Arial" w:cs="Arial"/>
                      <w:b/>
                      <w:bCs/>
                      <w:sz w:val="16"/>
                      <w:szCs w:val="16"/>
                    </w:rPr>
                    <w:t>Type</w:t>
                  </w:r>
                </w:p>
              </w:tc>
              <w:tc>
                <w:tcPr>
                  <w:tcW w:w="1180" w:type="pct"/>
                  <w:shd w:val="clear" w:color="auto" w:fill="auto"/>
                </w:tcPr>
                <w:p w:rsidR="004B76EF" w:rsidRDefault="00774936">
                  <w:pPr>
                    <w:rPr>
                      <w:rFonts w:ascii="Arial" w:hAnsi="Arial" w:cs="Arial"/>
                      <w:b/>
                      <w:bCs/>
                      <w:sz w:val="16"/>
                      <w:szCs w:val="16"/>
                    </w:rPr>
                  </w:pPr>
                  <w:r>
                    <w:rPr>
                      <w:rFonts w:ascii="Arial" w:hAnsi="Arial" w:cs="Arial"/>
                      <w:b/>
                      <w:bCs/>
                      <w:sz w:val="16"/>
                      <w:szCs w:val="16"/>
                    </w:rPr>
                    <w:t>Details</w:t>
                  </w:r>
                  <w:r>
                    <w:rPr>
                      <w:rFonts w:ascii="Arial" w:hAnsi="Arial" w:cs="Arial"/>
                      <w:b/>
                      <w:bCs/>
                      <w:sz w:val="16"/>
                      <w:szCs w:val="16"/>
                    </w:rPr>
                    <w:br/>
                    <w:t>(for information only)</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HARQ process number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7.1.1</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 xml:space="preserve">MCS </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Alt 1: Type 2 (without compression)</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7.1.2</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BWP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7.1.3</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FDRA</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 xml:space="preserve">Type 2 </w:t>
                  </w:r>
                </w:p>
                <w:p w:rsidR="004B76EF" w:rsidRDefault="00774936">
                  <w:pPr>
                    <w:numPr>
                      <w:ilvl w:val="0"/>
                      <w:numId w:val="5"/>
                    </w:numPr>
                    <w:kinsoku w:val="0"/>
                    <w:overflowPunct w:val="0"/>
                    <w:autoSpaceDE w:val="0"/>
                    <w:autoSpaceDN w:val="0"/>
                    <w:adjustRightInd w:val="0"/>
                    <w:contextualSpacing/>
                    <w:textAlignment w:val="baseline"/>
                    <w:rPr>
                      <w:rFonts w:ascii="Arial" w:hAnsi="Arial" w:cs="Arial"/>
                      <w:sz w:val="16"/>
                      <w:szCs w:val="16"/>
                    </w:rPr>
                  </w:pPr>
                  <w:r>
                    <w:rPr>
                      <w:rFonts w:ascii="Arial" w:hAnsi="Arial" w:cs="Arial"/>
                      <w:sz w:val="16"/>
                      <w:szCs w:val="16"/>
                    </w:rPr>
                    <w:t xml:space="preserve">Further consider larger RBG granularity than existing maximum specified or configured value for RA type 0 </w:t>
                  </w:r>
                </w:p>
                <w:p w:rsidR="004B76EF" w:rsidRDefault="00774936">
                  <w:pPr>
                    <w:numPr>
                      <w:ilvl w:val="0"/>
                      <w:numId w:val="5"/>
                    </w:numPr>
                    <w:kinsoku w:val="0"/>
                    <w:overflowPunct w:val="0"/>
                    <w:autoSpaceDE w:val="0"/>
                    <w:autoSpaceDN w:val="0"/>
                    <w:adjustRightInd w:val="0"/>
                    <w:contextualSpacing/>
                    <w:textAlignment w:val="baseline"/>
                    <w:rPr>
                      <w:rFonts w:ascii="Arial" w:hAnsi="Arial" w:cs="Arial"/>
                      <w:sz w:val="16"/>
                      <w:szCs w:val="16"/>
                    </w:rPr>
                  </w:pPr>
                  <w:r>
                    <w:rPr>
                      <w:rFonts w:ascii="Arial" w:hAnsi="Arial" w:cs="Arial"/>
                      <w:sz w:val="16"/>
                      <w:szCs w:val="16"/>
                    </w:rPr>
                    <w:t>Use large RBG-based RIV for RA type 1 based on R16 configurable granularities for DCI format 1_2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w:t>
                  </w:r>
                  <w:r>
                    <w:rPr>
                      <w:rFonts w:ascii="Arial" w:hAnsi="Arial" w:cs="Arial"/>
                      <w:sz w:val="16"/>
                      <w:szCs w:val="16"/>
                    </w:rPr>
                    <w:t>ction 7.1.4</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VRB-to-PRB mapping</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7.1.5</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PRB bundling size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7.1.6</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Rate matching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4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7.1.7</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ZP CSI-RS trigger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3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 xml:space="preserve">Details in </w:t>
                  </w:r>
                  <w:r>
                    <w:rPr>
                      <w:rFonts w:ascii="Arial" w:hAnsi="Arial" w:cs="Arial"/>
                      <w:sz w:val="16"/>
                      <w:szCs w:val="16"/>
                    </w:rPr>
                    <w:t>Section 7.1.8</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Antenna port(s)</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Configurable between Type 1A and Type 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7.1.9</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TCI</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4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7.1.10</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DMRS sequence initialization</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7.1.11</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SRS request</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4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7.1.12</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SRS offset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3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7.1.13</w:t>
                  </w:r>
                </w:p>
              </w:tc>
            </w:tr>
          </w:tbl>
          <w:p w:rsidR="004B76EF" w:rsidRDefault="00774936">
            <w:pPr>
              <w:rPr>
                <w:sz w:val="16"/>
              </w:rPr>
            </w:pPr>
            <w:r>
              <w:rPr>
                <w:sz w:val="16"/>
              </w:rPr>
              <w:t>This does not imply that payload of DCI can be larger than what is supported for polar code in Rel-17.</w:t>
            </w:r>
          </w:p>
          <w:p w:rsidR="004B76EF" w:rsidRDefault="00774936">
            <w:pPr>
              <w:rPr>
                <w:sz w:val="16"/>
              </w:rPr>
            </w:pPr>
            <w:r>
              <w:rPr>
                <w:sz w:val="16"/>
              </w:rPr>
              <w:t>FFS: Details</w:t>
            </w:r>
          </w:p>
          <w:p w:rsidR="004B76EF" w:rsidRDefault="004B76EF">
            <w:pPr>
              <w:rPr>
                <w:sz w:val="16"/>
              </w:rPr>
            </w:pPr>
          </w:p>
          <w:p w:rsidR="004B76EF" w:rsidRDefault="00774936">
            <w:pPr>
              <w:rPr>
                <w:b/>
                <w:bCs/>
                <w:sz w:val="16"/>
                <w:highlight w:val="green"/>
              </w:rPr>
            </w:pPr>
            <w:r>
              <w:rPr>
                <w:b/>
                <w:bCs/>
                <w:sz w:val="16"/>
                <w:highlight w:val="green"/>
              </w:rPr>
              <w:t>Agreement</w:t>
            </w:r>
          </w:p>
          <w:p w:rsidR="004B76EF" w:rsidRDefault="00774936">
            <w:pPr>
              <w:rPr>
                <w:sz w:val="16"/>
              </w:rPr>
            </w:pPr>
            <w:r>
              <w:rPr>
                <w:sz w:val="16"/>
              </w:rPr>
              <w:t xml:space="preserve">The types for below fields in </w:t>
            </w:r>
            <w:r>
              <w:rPr>
                <w:sz w:val="16"/>
              </w:rPr>
              <w:t>DCI format 0_X are listed: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0"/>
              <w:gridCol w:w="4269"/>
              <w:gridCol w:w="2085"/>
            </w:tblGrid>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 xml:space="preserve">Field </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w:t>
                  </w:r>
                </w:p>
              </w:tc>
              <w:tc>
                <w:tcPr>
                  <w:tcW w:w="1180" w:type="pct"/>
                  <w:shd w:val="clear" w:color="auto" w:fill="auto"/>
                </w:tcPr>
                <w:p w:rsidR="004B76EF" w:rsidRDefault="00774936">
                  <w:pPr>
                    <w:rPr>
                      <w:rFonts w:ascii="Arial" w:hAnsi="Arial" w:cs="Arial"/>
                      <w:sz w:val="16"/>
                      <w:szCs w:val="16"/>
                    </w:rPr>
                  </w:pPr>
                  <w:r>
                    <w:rPr>
                      <w:rFonts w:ascii="Arial" w:hAnsi="Arial" w:cs="Arial"/>
                      <w:b/>
                      <w:bCs/>
                      <w:sz w:val="16"/>
                      <w:szCs w:val="16"/>
                    </w:rPr>
                    <w:t>Details</w:t>
                  </w:r>
                  <w:r>
                    <w:rPr>
                      <w:rFonts w:ascii="Arial" w:hAnsi="Arial" w:cs="Arial"/>
                      <w:b/>
                      <w:bCs/>
                      <w:sz w:val="16"/>
                      <w:szCs w:val="16"/>
                    </w:rPr>
                    <w:br/>
                    <w:t>(for information only)</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HARQ process number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w:t>
                  </w:r>
                </w:p>
              </w:tc>
            </w:tr>
            <w:tr w:rsidR="004B76EF">
              <w:tc>
                <w:tcPr>
                  <w:tcW w:w="1404" w:type="pct"/>
                  <w:shd w:val="clear" w:color="auto" w:fill="auto"/>
                </w:tcPr>
                <w:p w:rsidR="004B76EF" w:rsidRDefault="00774936">
                  <w:pPr>
                    <w:rPr>
                      <w:rFonts w:ascii="Arial" w:hAnsi="Arial" w:cs="Arial"/>
                      <w:sz w:val="16"/>
                      <w:szCs w:val="16"/>
                      <w:highlight w:val="yellow"/>
                    </w:rPr>
                  </w:pPr>
                  <w:r>
                    <w:rPr>
                      <w:rFonts w:ascii="Arial" w:hAnsi="Arial" w:cs="Arial"/>
                      <w:sz w:val="16"/>
                      <w:szCs w:val="16"/>
                    </w:rPr>
                    <w:t xml:space="preserve">MCS </w:t>
                  </w:r>
                </w:p>
              </w:tc>
              <w:tc>
                <w:tcPr>
                  <w:tcW w:w="2416" w:type="pct"/>
                  <w:shd w:val="clear" w:color="auto" w:fill="auto"/>
                </w:tcPr>
                <w:p w:rsidR="004B76EF" w:rsidRDefault="00774936">
                  <w:pPr>
                    <w:rPr>
                      <w:rFonts w:ascii="Arial" w:hAnsi="Arial" w:cs="Arial"/>
                      <w:sz w:val="16"/>
                      <w:szCs w:val="16"/>
                      <w:highlight w:val="yellow"/>
                    </w:rPr>
                  </w:pPr>
                  <w:r>
                    <w:rPr>
                      <w:rFonts w:ascii="Arial" w:hAnsi="Arial" w:cs="Arial"/>
                      <w:sz w:val="16"/>
                      <w:szCs w:val="16"/>
                    </w:rPr>
                    <w:t>Alt 1: Type 2 (without compression)</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7.2.2</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lastRenderedPageBreak/>
                    <w:t>BWP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7.2.3</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FDRA</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 xml:space="preserve">Type 2 </w:t>
                  </w:r>
                </w:p>
                <w:p w:rsidR="004B76EF" w:rsidRDefault="00774936">
                  <w:pPr>
                    <w:numPr>
                      <w:ilvl w:val="0"/>
                      <w:numId w:val="5"/>
                    </w:numPr>
                    <w:kinsoku w:val="0"/>
                    <w:overflowPunct w:val="0"/>
                    <w:autoSpaceDE w:val="0"/>
                    <w:autoSpaceDN w:val="0"/>
                    <w:adjustRightInd w:val="0"/>
                    <w:contextualSpacing/>
                    <w:textAlignment w:val="baseline"/>
                    <w:rPr>
                      <w:rFonts w:ascii="Arial" w:hAnsi="Arial" w:cs="Arial"/>
                      <w:sz w:val="16"/>
                      <w:szCs w:val="16"/>
                    </w:rPr>
                  </w:pPr>
                  <w:r>
                    <w:rPr>
                      <w:rFonts w:ascii="Arial" w:hAnsi="Arial" w:cs="Arial"/>
                      <w:sz w:val="16"/>
                      <w:szCs w:val="16"/>
                    </w:rPr>
                    <w:t xml:space="preserve">Further consider larger RBG granularity than existing maximum specified or configured value for RA type 0 </w:t>
                  </w:r>
                </w:p>
                <w:p w:rsidR="004B76EF" w:rsidRDefault="00774936">
                  <w:pPr>
                    <w:numPr>
                      <w:ilvl w:val="0"/>
                      <w:numId w:val="5"/>
                    </w:numPr>
                    <w:kinsoku w:val="0"/>
                    <w:overflowPunct w:val="0"/>
                    <w:autoSpaceDE w:val="0"/>
                    <w:autoSpaceDN w:val="0"/>
                    <w:adjustRightInd w:val="0"/>
                    <w:contextualSpacing/>
                    <w:textAlignment w:val="baseline"/>
                    <w:rPr>
                      <w:rFonts w:ascii="Arial" w:hAnsi="Arial" w:cs="Arial"/>
                      <w:sz w:val="16"/>
                      <w:szCs w:val="16"/>
                    </w:rPr>
                  </w:pPr>
                  <w:r>
                    <w:rPr>
                      <w:rFonts w:ascii="Arial" w:hAnsi="Arial" w:cs="Arial"/>
                      <w:sz w:val="16"/>
                      <w:szCs w:val="16"/>
                    </w:rPr>
                    <w:t>Use large RBG-based RIV for RA type 1 based on R16 configurable granularities for DCI format 1_2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7.2.4</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Frequency hopping flag</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7.2.5</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TPC command for scheduled PUSCH</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7.2.6</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Open-loop power control parameter set indication</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7.2.7</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Antenna port(s)</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Configurable between Type 1A and Type-2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w:t>
                  </w:r>
                  <w:r>
                    <w:rPr>
                      <w:rFonts w:ascii="Arial" w:hAnsi="Arial" w:cs="Arial"/>
                      <w:sz w:val="16"/>
                      <w:szCs w:val="16"/>
                    </w:rPr>
                    <w:t xml:space="preserve"> 7.2.8</w:t>
                  </w:r>
                </w:p>
              </w:tc>
            </w:tr>
            <w:tr w:rsidR="004B76EF">
              <w:tc>
                <w:tcPr>
                  <w:tcW w:w="1404" w:type="pct"/>
                  <w:shd w:val="clear" w:color="auto" w:fill="auto"/>
                </w:tcPr>
                <w:p w:rsidR="004B76EF" w:rsidRDefault="00774936">
                  <w:pPr>
                    <w:rPr>
                      <w:rFonts w:ascii="Arial" w:hAnsi="Arial" w:cs="Arial"/>
                      <w:sz w:val="16"/>
                      <w:szCs w:val="16"/>
                    </w:rPr>
                  </w:pPr>
                  <w:proofErr w:type="spellStart"/>
                  <w:r>
                    <w:rPr>
                      <w:rFonts w:ascii="Arial" w:hAnsi="Arial" w:cs="Arial"/>
                      <w:sz w:val="16"/>
                      <w:szCs w:val="16"/>
                    </w:rPr>
                    <w:t>Precoding</w:t>
                  </w:r>
                  <w:proofErr w:type="spellEnd"/>
                  <w:r>
                    <w:rPr>
                      <w:rFonts w:ascii="Arial" w:hAnsi="Arial" w:cs="Arial"/>
                      <w:sz w:val="16"/>
                      <w:szCs w:val="16"/>
                    </w:rPr>
                    <w:t xml:space="preserve"> information and number of layers</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Configurable between Type 1A and Type-2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7.2.9</w:t>
                  </w:r>
                </w:p>
              </w:tc>
            </w:tr>
            <w:tr w:rsidR="004B76EF">
              <w:tc>
                <w:tcPr>
                  <w:tcW w:w="1404" w:type="pct"/>
                  <w:shd w:val="clear" w:color="auto" w:fill="auto"/>
                </w:tcPr>
                <w:p w:rsidR="004B76EF" w:rsidRDefault="00774936">
                  <w:pPr>
                    <w:rPr>
                      <w:rFonts w:ascii="Arial" w:hAnsi="Arial" w:cs="Arial"/>
                      <w:sz w:val="16"/>
                      <w:szCs w:val="16"/>
                    </w:rPr>
                  </w:pPr>
                  <w:r>
                    <w:rPr>
                      <w:rFonts w:ascii="Arial" w:eastAsia="Yu Mincho" w:hAnsi="Arial" w:cs="Arial"/>
                      <w:sz w:val="16"/>
                      <w:szCs w:val="16"/>
                      <w:lang w:eastAsia="ja-JP"/>
                    </w:rPr>
                    <w:t>PTRS-DMRS association</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7.2.10</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DMRS sequence initialization</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1A</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7.2.11</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SRS request</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w:t>
                  </w:r>
                  <w:r>
                    <w:rPr>
                      <w:rFonts w:ascii="Arial" w:hAnsi="Arial" w:cs="Arial"/>
                      <w:sz w:val="16"/>
                      <w:szCs w:val="16"/>
                    </w:rPr>
                    <w:t xml:space="preserve"> (up to 4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7.2.12</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SRS resource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Configurable between Type 1A and Type-2</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7.2.13</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SRS offset indicator</w:t>
                  </w:r>
                </w:p>
              </w:tc>
              <w:tc>
                <w:tcPr>
                  <w:tcW w:w="2416" w:type="pct"/>
                  <w:shd w:val="clear" w:color="auto" w:fill="auto"/>
                </w:tcPr>
                <w:p w:rsidR="004B76EF" w:rsidRDefault="00774936">
                  <w:pPr>
                    <w:rPr>
                      <w:rFonts w:ascii="Arial" w:hAnsi="Arial" w:cs="Arial"/>
                      <w:sz w:val="16"/>
                      <w:szCs w:val="16"/>
                    </w:rPr>
                  </w:pPr>
                  <w:r>
                    <w:rPr>
                      <w:rFonts w:ascii="Arial" w:hAnsi="Arial" w:cs="Arial"/>
                      <w:sz w:val="16"/>
                      <w:szCs w:val="16"/>
                    </w:rPr>
                    <w:t>Type 1B (up to 3 bits)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7.2.14</w:t>
                  </w:r>
                </w:p>
              </w:tc>
            </w:tr>
            <w:tr w:rsidR="004B76EF">
              <w:tc>
                <w:tcPr>
                  <w:tcW w:w="1404" w:type="pct"/>
                  <w:shd w:val="clear" w:color="auto" w:fill="auto"/>
                </w:tcPr>
                <w:p w:rsidR="004B76EF" w:rsidRDefault="00774936">
                  <w:pPr>
                    <w:rPr>
                      <w:rFonts w:ascii="Arial" w:hAnsi="Arial" w:cs="Arial"/>
                      <w:sz w:val="16"/>
                      <w:szCs w:val="16"/>
                    </w:rPr>
                  </w:pPr>
                  <w:r>
                    <w:rPr>
                      <w:rFonts w:ascii="Arial" w:hAnsi="Arial" w:cs="Arial"/>
                      <w:sz w:val="16"/>
                      <w:szCs w:val="16"/>
                    </w:rPr>
                    <w:t>UL/SUL indicator</w:t>
                  </w:r>
                </w:p>
              </w:tc>
              <w:tc>
                <w:tcPr>
                  <w:tcW w:w="2416" w:type="pct"/>
                  <w:shd w:val="clear" w:color="auto" w:fill="auto"/>
                </w:tcPr>
                <w:p w:rsidR="004B76EF" w:rsidRDefault="00774936">
                  <w:pPr>
                    <w:rPr>
                      <w:rFonts w:ascii="Arial" w:hAnsi="Arial" w:cs="Arial"/>
                      <w:sz w:val="16"/>
                      <w:szCs w:val="16"/>
                      <w:highlight w:val="yellow"/>
                    </w:rPr>
                  </w:pPr>
                  <w:r>
                    <w:rPr>
                      <w:rFonts w:ascii="Arial" w:hAnsi="Arial" w:cs="Arial"/>
                      <w:sz w:val="16"/>
                      <w:szCs w:val="16"/>
                    </w:rPr>
                    <w:t>FFS</w:t>
                  </w:r>
                </w:p>
              </w:tc>
              <w:tc>
                <w:tcPr>
                  <w:tcW w:w="1180" w:type="pct"/>
                  <w:shd w:val="clear" w:color="auto" w:fill="auto"/>
                </w:tcPr>
                <w:p w:rsidR="004B76EF" w:rsidRDefault="00774936">
                  <w:pPr>
                    <w:rPr>
                      <w:rFonts w:ascii="Arial" w:hAnsi="Arial" w:cs="Arial"/>
                      <w:sz w:val="16"/>
                      <w:szCs w:val="16"/>
                    </w:rPr>
                  </w:pPr>
                  <w:r>
                    <w:rPr>
                      <w:rFonts w:ascii="Arial" w:hAnsi="Arial" w:cs="Arial"/>
                      <w:sz w:val="16"/>
                      <w:szCs w:val="16"/>
                    </w:rPr>
                    <w:t>Details in Section 7.2.15</w:t>
                  </w:r>
                </w:p>
              </w:tc>
            </w:tr>
          </w:tbl>
          <w:p w:rsidR="004B76EF" w:rsidRDefault="00774936">
            <w:pPr>
              <w:rPr>
                <w:sz w:val="16"/>
              </w:rPr>
            </w:pPr>
            <w:r>
              <w:rPr>
                <w:sz w:val="16"/>
              </w:rPr>
              <w:t>This</w:t>
            </w:r>
            <w:r>
              <w:rPr>
                <w:sz w:val="16"/>
              </w:rPr>
              <w:t xml:space="preserve"> does not imply that payload of DCI can be larger than what is supported for polar code in Rel-17.</w:t>
            </w:r>
          </w:p>
          <w:p w:rsidR="004B76EF" w:rsidRDefault="00774936">
            <w:pPr>
              <w:rPr>
                <w:sz w:val="16"/>
              </w:rPr>
            </w:pPr>
            <w:r>
              <w:rPr>
                <w:sz w:val="16"/>
              </w:rPr>
              <w:t>FFS: Details</w:t>
            </w:r>
          </w:p>
          <w:p w:rsidR="004B76EF" w:rsidRDefault="004B76EF">
            <w:pPr>
              <w:rPr>
                <w:rFonts w:cs="Times"/>
                <w:snapToGrid w:val="0"/>
                <w:sz w:val="16"/>
              </w:rPr>
            </w:pPr>
          </w:p>
        </w:tc>
      </w:tr>
    </w:tbl>
    <w:p w:rsidR="004B76EF" w:rsidRDefault="00774936">
      <w:pPr>
        <w:spacing w:before="120" w:after="120" w:line="276" w:lineRule="auto"/>
        <w:rPr>
          <w:b/>
          <w:i/>
        </w:rPr>
      </w:pPr>
      <w:r>
        <w:rPr>
          <w:rFonts w:hint="eastAsia"/>
        </w:rPr>
        <w:lastRenderedPageBreak/>
        <w:t>I</w:t>
      </w:r>
      <w:r>
        <w:t xml:space="preserve">n this contribution, we provide our views on multi-cell scheduling via a single DCI, including the definition of scheduled cell combination </w:t>
      </w:r>
      <w:r>
        <w:t>(co-scheduled cells), PDCCH monitoring capability, and the design of a new DCI format.</w:t>
      </w:r>
    </w:p>
    <w:p w:rsidR="004B76EF" w:rsidRDefault="00774936">
      <w:pPr>
        <w:pStyle w:val="Heading1"/>
        <w:spacing w:line="276" w:lineRule="auto"/>
      </w:pPr>
      <w:r>
        <w:t>Discussion</w:t>
      </w:r>
    </w:p>
    <w:p w:rsidR="004B76EF" w:rsidRDefault="00774936">
      <w:pPr>
        <w:pStyle w:val="Heading2"/>
        <w:spacing w:line="276" w:lineRule="auto"/>
      </w:pPr>
      <w:r>
        <w:t>The cell combination configuration for multi-cell scheduling</w:t>
      </w:r>
    </w:p>
    <w:p w:rsidR="004B76EF" w:rsidRDefault="00774936">
      <w:pPr>
        <w:spacing w:after="120" w:line="276" w:lineRule="auto"/>
      </w:pPr>
      <w:r>
        <w:t>A UE can be configured with at most 32 serving cells, among which up to 16 can join in carrier ag</w:t>
      </w:r>
      <w:r>
        <w:t xml:space="preserve">gregation. Further, at most 8 cells can be scheduled by a same cell. </w:t>
      </w:r>
      <w:r>
        <w:rPr>
          <w:rFonts w:hint="eastAsia"/>
        </w:rPr>
        <w:t>W</w:t>
      </w:r>
      <w:r>
        <w:t>hen multi-cell scheduling with a single DCI is supported, it needs to be discussed how many cells are scheduled, which cell can be included in the scheduled cell set and how the schedule</w:t>
      </w:r>
      <w:r>
        <w:t xml:space="preserve">d cells are indicated. </w:t>
      </w:r>
    </w:p>
    <w:p w:rsidR="004B76EF" w:rsidRDefault="00774936">
      <w:pPr>
        <w:spacing w:after="120" w:line="276" w:lineRule="auto"/>
      </w:pPr>
      <w:r>
        <w:t xml:space="preserve">For the configuration of the set of cells for multi-cell PDSCH/PUSCH scheduling, there are some issues need be clarified. </w:t>
      </w:r>
    </w:p>
    <w:p w:rsidR="004B76EF" w:rsidRDefault="00774936">
      <w:pPr>
        <w:pStyle w:val="ListParagraph"/>
        <w:numPr>
          <w:ilvl w:val="0"/>
          <w:numId w:val="6"/>
        </w:numPr>
        <w:spacing w:after="120" w:line="276" w:lineRule="auto"/>
        <w:ind w:firstLineChars="0"/>
      </w:pPr>
      <w:r>
        <w:rPr>
          <w:rFonts w:hint="eastAsia"/>
        </w:rPr>
        <w:t>I</w:t>
      </w:r>
      <w:r>
        <w:t xml:space="preserve">ssue 1: whether multiple cells </w:t>
      </w:r>
      <w:proofErr w:type="gramStart"/>
      <w:r>
        <w:t>sets</w:t>
      </w:r>
      <w:proofErr w:type="gramEnd"/>
      <w:r>
        <w:t xml:space="preserve"> can be configured?</w:t>
      </w:r>
    </w:p>
    <w:p w:rsidR="004B76EF" w:rsidRDefault="00774936">
      <w:pPr>
        <w:pStyle w:val="ListParagraph"/>
        <w:spacing w:after="120" w:line="276" w:lineRule="auto"/>
        <w:ind w:left="420" w:firstLineChars="0" w:firstLine="0"/>
      </w:pPr>
      <w:r>
        <w:t xml:space="preserve">The maximum number of cells in one set is limited to </w:t>
      </w:r>
      <w:r>
        <w:t>4, same with the maximum number of co-scheduled cells scheduled by DCI format 0_X/1_X. When the number of cells configured for carrier aggregation is larger than 4, if only one cell set can be configured, there are some cells can only be scheduled via sing</w:t>
      </w:r>
      <w:r>
        <w:t xml:space="preserve">le-cell scheduling. The flexibility for multi-cell scheduling is impact by the limited candidate cells. If </w:t>
      </w:r>
      <w:r>
        <w:lastRenderedPageBreak/>
        <w:t xml:space="preserve">multiple sets can be configured, the flexibility for multi-cell scheduling would be improved. </w:t>
      </w:r>
    </w:p>
    <w:p w:rsidR="004B76EF" w:rsidRDefault="00774936">
      <w:pPr>
        <w:pStyle w:val="ListParagraph"/>
        <w:numPr>
          <w:ilvl w:val="0"/>
          <w:numId w:val="6"/>
        </w:numPr>
        <w:spacing w:after="120" w:line="276" w:lineRule="auto"/>
        <w:ind w:firstLineChars="0"/>
      </w:pPr>
      <w:r>
        <w:rPr>
          <w:rFonts w:hint="eastAsia"/>
        </w:rPr>
        <w:t>I</w:t>
      </w:r>
      <w:r>
        <w:t>ssue 2: if there are multiple cell sets, is the table</w:t>
      </w:r>
      <w:r>
        <w:t xml:space="preserve"> of cell combination is configured per set? </w:t>
      </w:r>
      <w:proofErr w:type="gramStart"/>
      <w:r>
        <w:t>or</w:t>
      </w:r>
      <w:proofErr w:type="gramEnd"/>
      <w:r>
        <w:t xml:space="preserve"> a table jointly configured for all sets?</w:t>
      </w:r>
    </w:p>
    <w:p w:rsidR="004B76EF" w:rsidRDefault="00774936">
      <w:pPr>
        <w:pStyle w:val="ListParagraph"/>
        <w:spacing w:after="120" w:line="276" w:lineRule="auto"/>
        <w:ind w:left="420" w:firstLineChars="0" w:firstLine="0"/>
      </w:pPr>
      <w:r>
        <w:rPr>
          <w:rFonts w:hint="eastAsia"/>
        </w:rPr>
        <w:t>T</w:t>
      </w:r>
      <w:r>
        <w:t xml:space="preserve">he cell combinations could be scheduled by DCI format 0_X/1_X </w:t>
      </w:r>
      <w:proofErr w:type="gramStart"/>
      <w:r>
        <w:t>are</w:t>
      </w:r>
      <w:proofErr w:type="gramEnd"/>
      <w:r>
        <w:t xml:space="preserve"> configured in a table by RRC signaling. </w:t>
      </w:r>
    </w:p>
    <w:p w:rsidR="004B76EF" w:rsidRDefault="00774936">
      <w:pPr>
        <w:pStyle w:val="ListParagraph"/>
        <w:spacing w:after="120" w:line="276" w:lineRule="auto"/>
        <w:ind w:left="420" w:firstLineChars="0" w:firstLine="0"/>
      </w:pPr>
      <w:r>
        <w:t>If the table is joint configured for all cell sets, the cell</w:t>
      </w:r>
      <w:r>
        <w:t xml:space="preserve"> set information shall also be included in the table. Otherwise, the overlapping is not allowed between different cell sets, in order to distinguish the cell sets witch the cell combination is included. In the DCI format 0_X/1_X, a</w:t>
      </w:r>
      <w:r>
        <w:rPr>
          <w:rFonts w:hint="eastAsia"/>
        </w:rPr>
        <w:t>n</w:t>
      </w:r>
      <w:r>
        <w:t xml:space="preserve"> indication for the row </w:t>
      </w:r>
      <w:r>
        <w:t xml:space="preserve">index of the table is needed to indicate the scheduled cell combination and scheduled cell set. But the number of rows in the table is closely related with the number of cell sets. </w:t>
      </w:r>
    </w:p>
    <w:p w:rsidR="004B76EF" w:rsidRDefault="00774936">
      <w:pPr>
        <w:pStyle w:val="ListParagraph"/>
        <w:spacing w:after="120" w:line="276" w:lineRule="auto"/>
        <w:ind w:left="420" w:firstLineChars="0" w:firstLine="0"/>
      </w:pPr>
      <w:r>
        <w:t>If the table is configured per cell set, there are multiple tables when th</w:t>
      </w:r>
      <w:r>
        <w:t>ere are multiple cell sets. When a DCI format 0_X/1_</w:t>
      </w:r>
      <w:r>
        <w:rPr>
          <w:rFonts w:hint="eastAsia"/>
        </w:rPr>
        <w:t>X</w:t>
      </w:r>
      <w:r>
        <w:t xml:space="preserve"> is detected, it needs to determine the scheduled cell set firstly, then to find the scheduled cell combination in the table for the set.</w:t>
      </w:r>
    </w:p>
    <w:p w:rsidR="004B76EF" w:rsidRDefault="00774936">
      <w:pPr>
        <w:pStyle w:val="ListParagraph"/>
        <w:spacing w:after="120" w:line="276" w:lineRule="auto"/>
        <w:ind w:left="420" w:firstLineChars="0" w:firstLine="0"/>
      </w:pPr>
      <w:r>
        <w:t>The scheduled cell set information could also be used for interpr</w:t>
      </w:r>
      <w:r>
        <w:t xml:space="preserve">etation for other DCI field, e.g. TDRA if the TDRA table is defined per cell set. An indication for cell set in DCI format 0_X/1_X could be simple and directly to determine the scheduled cells set. </w:t>
      </w:r>
      <w:r>
        <w:rPr>
          <w:rFonts w:hint="eastAsia"/>
        </w:rPr>
        <w:t>S</w:t>
      </w:r>
      <w:r>
        <w:t>eparated table for each cell sets and an indication for c</w:t>
      </w:r>
      <w:r>
        <w:t xml:space="preserve">ell set in DCI format 0_X/1_X is preferred. </w:t>
      </w:r>
    </w:p>
    <w:p w:rsidR="004B76EF" w:rsidRDefault="00774936">
      <w:pPr>
        <w:pStyle w:val="ListParagraph"/>
        <w:numPr>
          <w:ilvl w:val="0"/>
          <w:numId w:val="6"/>
        </w:numPr>
        <w:spacing w:after="120" w:line="276" w:lineRule="auto"/>
        <w:ind w:firstLineChars="0"/>
      </w:pPr>
      <w:r>
        <w:t>Issue 3: if there are multiple cell sets, how to determine which cell set is the cell combination scheduled by the detected DCI format 0_X/1_X include in?</w:t>
      </w:r>
    </w:p>
    <w:p w:rsidR="004B76EF" w:rsidRDefault="00774936">
      <w:pPr>
        <w:pStyle w:val="ListParagraph"/>
        <w:numPr>
          <w:ilvl w:val="1"/>
          <w:numId w:val="6"/>
        </w:numPr>
        <w:spacing w:after="120" w:line="276" w:lineRule="auto"/>
        <w:ind w:firstLineChars="0"/>
      </w:pPr>
      <w:r>
        <w:t xml:space="preserve">An indication field for cell set can be included in the </w:t>
      </w:r>
      <w:r>
        <w:t>DCI format 0_X/1_X, when the cell combination table is configured per cell set. Or the cell set information is configured joint with cell combinations for all cell sets in a table. UE could get the scheduled cell set information in the joint table.</w:t>
      </w:r>
    </w:p>
    <w:p w:rsidR="004B76EF" w:rsidRDefault="00774936">
      <w:pPr>
        <w:pStyle w:val="ListParagraph"/>
        <w:numPr>
          <w:ilvl w:val="1"/>
          <w:numId w:val="6"/>
        </w:numPr>
        <w:spacing w:after="120" w:line="276" w:lineRule="auto"/>
        <w:ind w:firstLineChars="0"/>
      </w:pPr>
      <w:r>
        <w:t xml:space="preserve">If the </w:t>
      </w:r>
      <w:r>
        <w:t>schedul</w:t>
      </w:r>
      <w:r>
        <w:rPr>
          <w:rFonts w:hint="eastAsia"/>
        </w:rPr>
        <w:t>ing</w:t>
      </w:r>
      <w:r>
        <w:t xml:space="preserve"> cell</w:t>
      </w:r>
      <w:r>
        <w:rPr>
          <w:rFonts w:hint="eastAsia"/>
        </w:rPr>
        <w:t>(</w:t>
      </w:r>
      <w:r>
        <w:t>s) for different cell sets are different, the DCI format 0_X/1_X are transmitted on different cells, it is easy to distinguish the scheduled cell set.</w:t>
      </w:r>
    </w:p>
    <w:p w:rsidR="004B76EF" w:rsidRDefault="00774936">
      <w:pPr>
        <w:spacing w:before="120" w:after="120" w:line="276" w:lineRule="auto"/>
        <w:rPr>
          <w:b/>
          <w:i/>
          <w:szCs w:val="20"/>
        </w:rPr>
      </w:pPr>
      <w:r>
        <w:rPr>
          <w:rFonts w:hint="eastAsia"/>
          <w:b/>
          <w:i/>
        </w:rPr>
        <w:t>P</w:t>
      </w:r>
      <w:r>
        <w:rPr>
          <w:b/>
          <w:i/>
        </w:rPr>
        <w:t>roposal 1: For multi-cell PDSCH/PUSCH scheduling,</w:t>
      </w:r>
    </w:p>
    <w:p w:rsidR="004B76EF" w:rsidRDefault="00774936">
      <w:pPr>
        <w:widowControl/>
        <w:numPr>
          <w:ilvl w:val="0"/>
          <w:numId w:val="7"/>
        </w:numPr>
        <w:tabs>
          <w:tab w:val="left" w:pos="840"/>
        </w:tabs>
        <w:spacing w:before="120" w:after="120" w:line="276" w:lineRule="auto"/>
        <w:jc w:val="left"/>
        <w:rPr>
          <w:b/>
          <w:i/>
        </w:rPr>
      </w:pPr>
      <w:r>
        <w:rPr>
          <w:rFonts w:hint="eastAsia"/>
          <w:b/>
          <w:i/>
          <w:szCs w:val="20"/>
        </w:rPr>
        <w:t>M</w:t>
      </w:r>
      <w:r>
        <w:rPr>
          <w:b/>
          <w:i/>
          <w:szCs w:val="20"/>
        </w:rPr>
        <w:t xml:space="preserve">ultiple cell sets are allowed for a </w:t>
      </w:r>
      <w:r>
        <w:rPr>
          <w:b/>
          <w:i/>
          <w:szCs w:val="20"/>
        </w:rPr>
        <w:t>UE.</w:t>
      </w:r>
    </w:p>
    <w:p w:rsidR="004B76EF" w:rsidRDefault="00774936">
      <w:pPr>
        <w:widowControl/>
        <w:numPr>
          <w:ilvl w:val="0"/>
          <w:numId w:val="7"/>
        </w:numPr>
        <w:tabs>
          <w:tab w:val="left" w:pos="420"/>
        </w:tabs>
        <w:spacing w:before="120" w:after="120" w:line="276" w:lineRule="auto"/>
        <w:jc w:val="left"/>
        <w:rPr>
          <w:b/>
          <w:i/>
        </w:rPr>
      </w:pPr>
      <w:r>
        <w:rPr>
          <w:rFonts w:eastAsia="Batang" w:cs="Times New Roman"/>
          <w:b/>
          <w:i/>
          <w:kern w:val="0"/>
          <w:szCs w:val="20"/>
        </w:rPr>
        <w:t>For multi-cell scheduling in a cell set, the co-scheduled cells are indicated by an indicator in DCI format 0_X/1_X which points to one row of a table defining combinations of co-scheduled cells</w:t>
      </w:r>
      <w:r>
        <w:rPr>
          <w:rFonts w:cs="Times New Roman"/>
          <w:b/>
          <w:i/>
          <w:kern w:val="0"/>
          <w:szCs w:val="20"/>
        </w:rPr>
        <w:t>.</w:t>
      </w:r>
    </w:p>
    <w:p w:rsidR="004B76EF" w:rsidRDefault="00774936">
      <w:pPr>
        <w:widowControl/>
        <w:numPr>
          <w:ilvl w:val="1"/>
          <w:numId w:val="7"/>
        </w:numPr>
        <w:tabs>
          <w:tab w:val="left" w:pos="840"/>
        </w:tabs>
        <w:spacing w:before="120" w:after="120" w:line="276" w:lineRule="auto"/>
        <w:jc w:val="left"/>
        <w:rPr>
          <w:b/>
          <w:i/>
        </w:rPr>
      </w:pPr>
      <w:r>
        <w:rPr>
          <w:rFonts w:cs="Times New Roman"/>
          <w:b/>
          <w:i/>
          <w:szCs w:val="20"/>
        </w:rPr>
        <w:t>The table is configured by RRC signaling.</w:t>
      </w:r>
    </w:p>
    <w:p w:rsidR="004B76EF" w:rsidRDefault="00774936">
      <w:pPr>
        <w:widowControl/>
        <w:numPr>
          <w:ilvl w:val="1"/>
          <w:numId w:val="7"/>
        </w:numPr>
        <w:spacing w:before="120" w:after="120" w:line="276" w:lineRule="auto"/>
        <w:jc w:val="left"/>
        <w:rPr>
          <w:b/>
          <w:i/>
        </w:rPr>
      </w:pPr>
      <w:r>
        <w:rPr>
          <w:rFonts w:hint="eastAsia"/>
          <w:b/>
          <w:i/>
        </w:rPr>
        <w:t>T</w:t>
      </w:r>
      <w:r>
        <w:rPr>
          <w:b/>
          <w:i/>
        </w:rPr>
        <w:t>he table is c</w:t>
      </w:r>
      <w:r>
        <w:rPr>
          <w:b/>
          <w:i/>
        </w:rPr>
        <w:t>onfigured per cell set.</w:t>
      </w:r>
    </w:p>
    <w:p w:rsidR="004B76EF" w:rsidRDefault="00774936">
      <w:pPr>
        <w:spacing w:before="120" w:after="120" w:line="276" w:lineRule="auto"/>
        <w:rPr>
          <w:b/>
          <w:i/>
        </w:rPr>
      </w:pPr>
      <w:r>
        <w:rPr>
          <w:b/>
          <w:i/>
        </w:rPr>
        <w:t>Proposal 2: When multiple cell sets are configured, one or more of the following should be taken into account to identify the scheduled cell set:</w:t>
      </w:r>
    </w:p>
    <w:p w:rsidR="004B76EF" w:rsidRDefault="00774936">
      <w:pPr>
        <w:pStyle w:val="ListParagraph"/>
        <w:numPr>
          <w:ilvl w:val="0"/>
          <w:numId w:val="7"/>
        </w:numPr>
        <w:spacing w:before="120" w:after="120" w:line="276" w:lineRule="auto"/>
        <w:ind w:firstLineChars="0"/>
        <w:rPr>
          <w:b/>
          <w:i/>
        </w:rPr>
      </w:pPr>
      <w:r>
        <w:rPr>
          <w:b/>
          <w:i/>
        </w:rPr>
        <w:t>Alt-1: One scheduling cell can schedule multiple cell sets, and cell set identificatio</w:t>
      </w:r>
      <w:r>
        <w:rPr>
          <w:b/>
          <w:i/>
        </w:rPr>
        <w:t>n is included in DCI format 0_X/1_X.</w:t>
      </w:r>
    </w:p>
    <w:p w:rsidR="004B76EF" w:rsidRDefault="00774936">
      <w:pPr>
        <w:pStyle w:val="ListParagraph"/>
        <w:numPr>
          <w:ilvl w:val="0"/>
          <w:numId w:val="7"/>
        </w:numPr>
        <w:spacing w:before="120" w:after="120" w:line="276" w:lineRule="auto"/>
        <w:ind w:firstLineChars="0"/>
        <w:rPr>
          <w:b/>
          <w:i/>
        </w:rPr>
      </w:pPr>
      <w:r>
        <w:rPr>
          <w:b/>
          <w:i/>
        </w:rPr>
        <w:lastRenderedPageBreak/>
        <w:t>Alt-2: One scheduling cell can be configured to schedule only one cell set, and UE can have multiple scheduling cells.</w:t>
      </w:r>
    </w:p>
    <w:p w:rsidR="004B76EF" w:rsidRDefault="00774936">
      <w:pPr>
        <w:pStyle w:val="ListParagraph"/>
        <w:numPr>
          <w:ilvl w:val="1"/>
          <w:numId w:val="7"/>
        </w:numPr>
        <w:spacing w:before="120" w:after="120" w:line="276" w:lineRule="auto"/>
        <w:ind w:firstLineChars="0"/>
        <w:rPr>
          <w:b/>
          <w:i/>
        </w:rPr>
      </w:pPr>
      <w:r>
        <w:rPr>
          <w:b/>
          <w:i/>
        </w:rPr>
        <w:t>A restriction that one scheduling cell of DCI 0_X/1_X is not scheduled by another scheduling cell ap</w:t>
      </w:r>
      <w:r>
        <w:rPr>
          <w:b/>
          <w:i/>
        </w:rPr>
        <w:t xml:space="preserve">plies.   </w:t>
      </w:r>
    </w:p>
    <w:p w:rsidR="004B76EF" w:rsidRDefault="00774936">
      <w:pPr>
        <w:pStyle w:val="Heading2"/>
        <w:spacing w:line="276" w:lineRule="auto"/>
      </w:pPr>
      <w:r>
        <w:rPr>
          <w:rFonts w:hint="eastAsia"/>
        </w:rPr>
        <w:t>N</w:t>
      </w:r>
      <w:r>
        <w:t>ew DCI format design</w:t>
      </w:r>
    </w:p>
    <w:p w:rsidR="004B76EF" w:rsidRDefault="00774936">
      <w:pPr>
        <w:spacing w:after="120" w:line="276" w:lineRule="auto"/>
      </w:pPr>
      <w:r>
        <w:rPr>
          <w:rFonts w:hint="eastAsia"/>
        </w:rPr>
        <w:t>T</w:t>
      </w:r>
      <w:r>
        <w:t xml:space="preserve">o support single DCI scheduling PUSCH/PDSCH on multi-cells, some modifications on DCI and cell configurations are obvious, e.g. new DCI format, DCI size alignment. </w:t>
      </w:r>
    </w:p>
    <w:p w:rsidR="004B76EF" w:rsidRDefault="00774936">
      <w:pPr>
        <w:pStyle w:val="Heading3"/>
      </w:pPr>
      <w:r>
        <w:rPr>
          <w:rFonts w:hint="eastAsia"/>
        </w:rPr>
        <w:t>D</w:t>
      </w:r>
      <w:r>
        <w:t>CI size determination</w:t>
      </w:r>
    </w:p>
    <w:p w:rsidR="004B76EF" w:rsidRDefault="00774936">
      <w:pPr>
        <w:spacing w:after="120" w:line="276" w:lineRule="auto"/>
      </w:pPr>
      <w:r>
        <w:t>The following Table-1 and Table-2 g</w:t>
      </w:r>
      <w:r>
        <w:t>ive the candidate DCI payload budget when 4 cells are simultaneously scheduled. In the calculations of two tables,</w:t>
      </w:r>
    </w:p>
    <w:p w:rsidR="004B76EF" w:rsidRDefault="00774936">
      <w:pPr>
        <w:numPr>
          <w:ilvl w:val="0"/>
          <w:numId w:val="8"/>
        </w:numPr>
        <w:spacing w:after="120" w:line="276" w:lineRule="auto"/>
      </w:pPr>
      <w:r>
        <w:t xml:space="preserve">The bit length of </w:t>
      </w:r>
      <w:proofErr w:type="gramStart"/>
      <w:r>
        <w:t>an</w:t>
      </w:r>
      <w:proofErr w:type="gramEnd"/>
      <w:r>
        <w:t xml:space="preserve"> Type 1 field is assumed as the maximum required bit size among the candidate scheduled cells. </w:t>
      </w:r>
    </w:p>
    <w:p w:rsidR="004B76EF" w:rsidRDefault="00774936">
      <w:pPr>
        <w:numPr>
          <w:ilvl w:val="0"/>
          <w:numId w:val="8"/>
        </w:numPr>
        <w:spacing w:after="120" w:line="276" w:lineRule="auto"/>
      </w:pPr>
      <w:r>
        <w:t xml:space="preserve">The bit length of </w:t>
      </w:r>
      <w:proofErr w:type="gramStart"/>
      <w:r>
        <w:t>an</w:t>
      </w:r>
      <w:proofErr w:type="gramEnd"/>
      <w:r>
        <w:t xml:space="preserve"> Type 2 field is assumed to be N*M, where N is the maximum scheduled cell number (N=4), and M is the maximum required bit size among the candidate scheduled cells. </w:t>
      </w:r>
    </w:p>
    <w:p w:rsidR="004B76EF" w:rsidRDefault="00774936">
      <w:pPr>
        <w:numPr>
          <w:ilvl w:val="0"/>
          <w:numId w:val="8"/>
        </w:numPr>
        <w:spacing w:after="120" w:line="276" w:lineRule="auto"/>
      </w:pPr>
      <w:r>
        <w:t>The bit length of an Type 3 field is assumed to be the same as when the</w:t>
      </w:r>
      <w:r>
        <w:t xml:space="preserve"> Type 3 field is applied as Type 1, i.e., it has the maximum required bit size among the candidate scheduled cells. </w:t>
      </w:r>
    </w:p>
    <w:p w:rsidR="004B76EF" w:rsidRDefault="00774936">
      <w:pPr>
        <w:spacing w:after="120" w:line="276" w:lineRule="auto"/>
      </w:pPr>
      <w:r>
        <w:rPr>
          <w:rFonts w:hint="eastAsia"/>
        </w:rPr>
        <w:t>For</w:t>
      </w:r>
      <w:r>
        <w:t xml:space="preserve"> DCI format 1_X, the payload size is 201 bits when bit size of FDRA is assumed as 10 for each of N=4 scheduled cell, which exceeds the m</w:t>
      </w:r>
      <w:r>
        <w:t xml:space="preserve">aximum DCI size </w:t>
      </w:r>
      <w:proofErr w:type="gramStart"/>
      <w:r>
        <w:t>limitation(</w:t>
      </w:r>
      <w:proofErr w:type="gramEnd"/>
      <w:r>
        <w:t>164 bit) by 37. Among all DCI 1_X fields, FDRA consumes the largest payload overhead. The bit size of FDRA field is determined by BWP size and indication granularity, which suggests a way of compression with higher indication gra</w:t>
      </w:r>
      <w:r>
        <w:t>nularity configuration. But it still looks quite challenging to compress 40-bits FDRA down by 37 and meanwhile to maintain the FDRA to be effectively usable. Other solution or remedy is needed. One of simple solution is to disable the TB2-realted fields wh</w:t>
      </w:r>
      <w:r>
        <w:t>en N=4, which saves 32 bits and then makes FDRA compression more feasible.</w:t>
      </w:r>
    </w:p>
    <w:p w:rsidR="004B76EF" w:rsidRDefault="00774936">
      <w:pPr>
        <w:spacing w:after="120" w:line="276" w:lineRule="auto"/>
        <w:rPr>
          <w:b/>
          <w:i/>
        </w:rPr>
      </w:pPr>
      <w:r>
        <w:rPr>
          <w:b/>
          <w:i/>
        </w:rPr>
        <w:t>Proposal 3: RAN1 considers the following methods to restrict DCI 1_X size to be no more than 164.</w:t>
      </w:r>
    </w:p>
    <w:p w:rsidR="004B76EF" w:rsidRDefault="00774936">
      <w:pPr>
        <w:numPr>
          <w:ilvl w:val="0"/>
          <w:numId w:val="8"/>
        </w:numPr>
        <w:tabs>
          <w:tab w:val="clear" w:pos="420"/>
          <w:tab w:val="left" w:pos="800"/>
        </w:tabs>
        <w:spacing w:after="120" w:line="276" w:lineRule="auto"/>
        <w:ind w:left="800"/>
      </w:pPr>
      <w:r>
        <w:rPr>
          <w:b/>
          <w:i/>
        </w:rPr>
        <w:t>Use larger resource allocation granularity to compress the FDRA field size; and</w:t>
      </w:r>
    </w:p>
    <w:p w:rsidR="004B76EF" w:rsidRDefault="00774936">
      <w:pPr>
        <w:numPr>
          <w:ilvl w:val="0"/>
          <w:numId w:val="8"/>
        </w:numPr>
        <w:tabs>
          <w:tab w:val="clear" w:pos="420"/>
          <w:tab w:val="left" w:pos="800"/>
        </w:tabs>
        <w:spacing w:after="120" w:line="276" w:lineRule="auto"/>
        <w:ind w:left="800"/>
      </w:pPr>
      <w:r>
        <w:rPr>
          <w:b/>
          <w:i/>
        </w:rPr>
        <w:t>Dis</w:t>
      </w:r>
      <w:r>
        <w:rPr>
          <w:b/>
          <w:i/>
        </w:rPr>
        <w:t xml:space="preserve">able TB2 in DCI 1_X when the maximum co-scheduled cells number </w:t>
      </w:r>
      <w:r>
        <w:rPr>
          <w:rFonts w:hint="eastAsia"/>
          <w:b/>
          <w:i/>
        </w:rPr>
        <w:t>given</w:t>
      </w:r>
      <w:r>
        <w:rPr>
          <w:b/>
          <w:i/>
        </w:rPr>
        <w:t xml:space="preserve"> by the co-scheduled cell table is 4.</w:t>
      </w:r>
    </w:p>
    <w:p w:rsidR="004B76EF" w:rsidRDefault="00774936">
      <w:pPr>
        <w:spacing w:after="120" w:line="276" w:lineRule="auto"/>
      </w:pPr>
      <w:r>
        <w:t>For DCI format 0_X, the payload size is 188 bits when bit size of FDRA is assumed as 10 for each scheduled cell with N=4, which exceeds the maximum DC</w:t>
      </w:r>
      <w:r>
        <w:t>I size limitation (164 bit) by 24. Similar to the above analysis for DCI 1_X, it is necessary to perform FDRA compression but it is also challenging to rely on FDRA compression alone to meet the limit of 164 bits. Besides the FDRA compression, RAN1 can con</w:t>
      </w:r>
      <w:r>
        <w:t xml:space="preserve">sider to limit the field sizes of Type-1B fields. If all above solutions still fail to get total size of DCI 0_X no exceeding 164, a last candidate is to reduce the maximum number of cells per cell set from 4 to 3. </w:t>
      </w:r>
    </w:p>
    <w:p w:rsidR="004B76EF" w:rsidRDefault="00774936">
      <w:pPr>
        <w:spacing w:after="120" w:line="276" w:lineRule="auto"/>
        <w:rPr>
          <w:b/>
          <w:i/>
        </w:rPr>
      </w:pPr>
      <w:r>
        <w:rPr>
          <w:b/>
          <w:i/>
        </w:rPr>
        <w:t>Proposal 4: RAN1 considers the following</w:t>
      </w:r>
      <w:r>
        <w:rPr>
          <w:b/>
          <w:i/>
        </w:rPr>
        <w:t xml:space="preserve"> methods to restrict DCI 0_X size to be no more than 164.</w:t>
      </w:r>
    </w:p>
    <w:p w:rsidR="004B76EF" w:rsidRDefault="00774936">
      <w:pPr>
        <w:numPr>
          <w:ilvl w:val="0"/>
          <w:numId w:val="8"/>
        </w:numPr>
        <w:tabs>
          <w:tab w:val="clear" w:pos="420"/>
          <w:tab w:val="left" w:pos="800"/>
        </w:tabs>
        <w:spacing w:after="120" w:line="276" w:lineRule="auto"/>
        <w:ind w:left="800"/>
      </w:pPr>
      <w:r>
        <w:rPr>
          <w:b/>
          <w:i/>
        </w:rPr>
        <w:lastRenderedPageBreak/>
        <w:t xml:space="preserve">Use larger resource allocation granularity to compress the FDRA field size, together with some other methods </w:t>
      </w:r>
      <w:r>
        <w:rPr>
          <w:b/>
          <w:i/>
        </w:rPr>
        <w:t>such as</w:t>
      </w:r>
      <w:r>
        <w:rPr>
          <w:b/>
          <w:i/>
        </w:rPr>
        <w:t xml:space="preserve"> limiting Type-1B field sizes</w:t>
      </w:r>
      <w:r>
        <w:rPr>
          <w:b/>
          <w:i/>
        </w:rPr>
        <w:t>.</w:t>
      </w:r>
    </w:p>
    <w:p w:rsidR="004B76EF" w:rsidRDefault="00774936">
      <w:pPr>
        <w:spacing w:after="120"/>
        <w:jc w:val="center"/>
      </w:pPr>
      <w:r>
        <w:t xml:space="preserve">Table 1 </w:t>
      </w:r>
      <w:r>
        <w:rPr>
          <w:rFonts w:hint="eastAsia"/>
        </w:rPr>
        <w:t>DCI</w:t>
      </w:r>
      <w:r>
        <w:t xml:space="preserve"> </w:t>
      </w:r>
      <w:r>
        <w:rPr>
          <w:rFonts w:hint="eastAsia"/>
        </w:rPr>
        <w:t>format</w:t>
      </w:r>
      <w:r>
        <w:t xml:space="preserve"> </w:t>
      </w:r>
      <w:r>
        <w:rPr>
          <w:rFonts w:hint="eastAsia"/>
        </w:rPr>
        <w:t>for</w:t>
      </w:r>
      <w:r>
        <w:t xml:space="preserve"> P</w:t>
      </w:r>
      <w:r>
        <w:rPr>
          <w:rFonts w:hint="eastAsia"/>
        </w:rPr>
        <w:t>D</w:t>
      </w:r>
      <w:r>
        <w:t>SCH</w:t>
      </w:r>
    </w:p>
    <w:tbl>
      <w:tblPr>
        <w:tblW w:w="7654" w:type="dxa"/>
        <w:jc w:val="center"/>
        <w:tblLook w:val="04A0"/>
      </w:tblPr>
      <w:tblGrid>
        <w:gridCol w:w="3338"/>
        <w:gridCol w:w="1701"/>
        <w:gridCol w:w="1134"/>
        <w:gridCol w:w="1481"/>
      </w:tblGrid>
      <w:tr w:rsidR="004B76EF">
        <w:trPr>
          <w:trHeight w:val="1022"/>
          <w:jc w:val="center"/>
        </w:trPr>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DCI fields </w:t>
            </w:r>
          </w:p>
        </w:tc>
        <w:tc>
          <w:tcPr>
            <w:tcW w:w="1701"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maximum </w:t>
            </w:r>
            <w:r>
              <w:rPr>
                <w:rFonts w:eastAsia="等线" w:cs="Times New Roman"/>
                <w:color w:val="000000"/>
                <w:kern w:val="0"/>
                <w:sz w:val="18"/>
                <w:szCs w:val="18"/>
              </w:rPr>
              <w:t>size for single cell scheduling</w:t>
            </w:r>
          </w:p>
        </w:tc>
        <w:tc>
          <w:tcPr>
            <w:tcW w:w="1134"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Indication type</w:t>
            </w:r>
          </w:p>
        </w:tc>
        <w:tc>
          <w:tcPr>
            <w:tcW w:w="1481"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Candidate bit size for N=4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Identifier for DCI formats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Carrier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Bandwidth part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Frequency domain resource assignment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19</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40</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Time domain resource </w:t>
            </w:r>
            <w:r>
              <w:rPr>
                <w:rFonts w:eastAsia="等线" w:cs="Times New Roman"/>
                <w:color w:val="000000"/>
                <w:kern w:val="0"/>
                <w:sz w:val="18"/>
                <w:szCs w:val="18"/>
              </w:rPr>
              <w:t>assignment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VRB-to-PRB mapping</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PRB bundling size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Rate matching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ZP CSI-RS trigger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Modulation and coding scheme-TB1</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20</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New data indicator-TB1</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Redundancy </w:t>
            </w:r>
            <w:r>
              <w:rPr>
                <w:rFonts w:eastAsia="等线" w:cs="Times New Roman"/>
                <w:color w:val="000000"/>
                <w:kern w:val="0"/>
                <w:sz w:val="18"/>
                <w:szCs w:val="18"/>
              </w:rPr>
              <w:t>version-TB1</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8</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Modulation and coding scheme-TB2</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20</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New data indicator-TB2</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Redundancy version-TB2</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8</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HARQ process number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16</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Downlink assignment index</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TPC command for scheduled PUCCH</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PUCCH resource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HARQ timing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Antenna port(s)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3</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r>
      <w:tr w:rsidR="004B76EF">
        <w:trPr>
          <w:trHeight w:val="510"/>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Transmission configuration indication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SRS request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DMRS sequence initialization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510"/>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Priority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SRS </w:t>
            </w:r>
            <w:r>
              <w:rPr>
                <w:rFonts w:eastAsia="等线" w:cs="Times New Roman"/>
                <w:color w:val="000000"/>
                <w:kern w:val="0"/>
                <w:sz w:val="18"/>
                <w:szCs w:val="18"/>
              </w:rPr>
              <w:t>offset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One-shot HARQ-ACK request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proofErr w:type="spellStart"/>
            <w:r>
              <w:rPr>
                <w:rFonts w:eastAsia="等线" w:cs="Times New Roman"/>
                <w:color w:val="000000"/>
                <w:kern w:val="0"/>
                <w:sz w:val="18"/>
                <w:szCs w:val="18"/>
              </w:rPr>
              <w:t>ChannelAccess-Cpext</w:t>
            </w:r>
            <w:proofErr w:type="spellEnd"/>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24-bit CRC</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　</w:t>
            </w:r>
          </w:p>
        </w:tc>
        <w:tc>
          <w:tcPr>
            <w:tcW w:w="148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24</w:t>
            </w:r>
          </w:p>
        </w:tc>
      </w:tr>
      <w:tr w:rsidR="004B76EF">
        <w:trPr>
          <w:trHeight w:val="285"/>
          <w:jc w:val="center"/>
        </w:trPr>
        <w:tc>
          <w:tcPr>
            <w:tcW w:w="3338"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Total bits</w:t>
            </w:r>
          </w:p>
        </w:tc>
        <w:tc>
          <w:tcPr>
            <w:tcW w:w="1701" w:type="dxa"/>
            <w:tcBorders>
              <w:top w:val="nil"/>
              <w:left w:val="nil"/>
              <w:bottom w:val="single" w:sz="4" w:space="0" w:color="auto"/>
              <w:right w:val="single" w:sz="4" w:space="0" w:color="auto"/>
            </w:tcBorders>
            <w:shd w:val="clear" w:color="auto" w:fill="auto"/>
            <w:noWrap/>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76</w:t>
            </w:r>
          </w:p>
        </w:tc>
        <w:tc>
          <w:tcPr>
            <w:tcW w:w="1134" w:type="dxa"/>
            <w:tcBorders>
              <w:top w:val="nil"/>
              <w:left w:val="nil"/>
              <w:bottom w:val="single" w:sz="4" w:space="0" w:color="auto"/>
              <w:right w:val="single" w:sz="4" w:space="0" w:color="auto"/>
            </w:tcBorders>
            <w:shd w:val="clear" w:color="auto" w:fill="auto"/>
            <w:noWrap/>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 xml:space="preserve">　</w:t>
            </w:r>
          </w:p>
        </w:tc>
        <w:tc>
          <w:tcPr>
            <w:tcW w:w="1481" w:type="dxa"/>
            <w:tcBorders>
              <w:top w:val="nil"/>
              <w:left w:val="nil"/>
              <w:bottom w:val="single" w:sz="4" w:space="0" w:color="auto"/>
              <w:right w:val="single" w:sz="4" w:space="0" w:color="auto"/>
            </w:tcBorders>
            <w:shd w:val="clear" w:color="auto" w:fill="auto"/>
            <w:noWrap/>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201</w:t>
            </w:r>
          </w:p>
        </w:tc>
      </w:tr>
    </w:tbl>
    <w:p w:rsidR="004B76EF" w:rsidRDefault="004B76EF">
      <w:pPr>
        <w:spacing w:after="120" w:line="276" w:lineRule="auto"/>
      </w:pPr>
    </w:p>
    <w:p w:rsidR="004B76EF" w:rsidRDefault="00774936">
      <w:pPr>
        <w:spacing w:after="120"/>
        <w:jc w:val="center"/>
      </w:pPr>
      <w:r>
        <w:t xml:space="preserve">Table 2 </w:t>
      </w:r>
      <w:r>
        <w:rPr>
          <w:rFonts w:hint="eastAsia"/>
        </w:rPr>
        <w:t>DCI</w:t>
      </w:r>
      <w:r>
        <w:t xml:space="preserve"> </w:t>
      </w:r>
      <w:r>
        <w:rPr>
          <w:rFonts w:hint="eastAsia"/>
        </w:rPr>
        <w:t>format</w:t>
      </w:r>
      <w:r>
        <w:t xml:space="preserve"> </w:t>
      </w:r>
      <w:r>
        <w:rPr>
          <w:rFonts w:hint="eastAsia"/>
        </w:rPr>
        <w:t>for</w:t>
      </w:r>
      <w:r>
        <w:t xml:space="preserve"> PUSCH</w:t>
      </w:r>
    </w:p>
    <w:tbl>
      <w:tblPr>
        <w:tblW w:w="7654" w:type="dxa"/>
        <w:jc w:val="center"/>
        <w:tblLook w:val="04A0"/>
      </w:tblPr>
      <w:tblGrid>
        <w:gridCol w:w="3685"/>
        <w:gridCol w:w="1701"/>
        <w:gridCol w:w="1134"/>
        <w:gridCol w:w="1134"/>
      </w:tblGrid>
      <w:tr w:rsidR="004B76EF">
        <w:trPr>
          <w:trHeight w:val="1022"/>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lastRenderedPageBreak/>
              <w:t xml:space="preserve">DCI fields </w:t>
            </w:r>
          </w:p>
        </w:tc>
        <w:tc>
          <w:tcPr>
            <w:tcW w:w="1701"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maximum size for single cell scheduling</w:t>
            </w:r>
          </w:p>
        </w:tc>
        <w:tc>
          <w:tcPr>
            <w:tcW w:w="1134"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Indication type</w:t>
            </w:r>
          </w:p>
        </w:tc>
        <w:tc>
          <w:tcPr>
            <w:tcW w:w="1134" w:type="dxa"/>
            <w:tcBorders>
              <w:top w:val="single" w:sz="4" w:space="0" w:color="auto"/>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Candidate bit </w:t>
            </w:r>
            <w:r>
              <w:rPr>
                <w:rFonts w:eastAsia="等线" w:cs="Times New Roman"/>
                <w:color w:val="000000"/>
                <w:kern w:val="0"/>
                <w:sz w:val="18"/>
                <w:szCs w:val="18"/>
              </w:rPr>
              <w:t>size for N=4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Identifier for DCI formats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Carrier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Bandwidth part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Frequency domain resource assignment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19</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40</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Time domain resource assignment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Frequency hopping flag</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Modulation and coding scheme</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20</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New data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Redundancy version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8</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HARQ process number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16</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1st downlink assignment index </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2nd downlink assignment index </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TPC command for scheduled PUSCH</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8</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SRS resource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proofErr w:type="spellStart"/>
            <w:r>
              <w:rPr>
                <w:rFonts w:eastAsia="等线" w:cs="Times New Roman"/>
                <w:color w:val="000000"/>
                <w:kern w:val="0"/>
                <w:sz w:val="18"/>
                <w:szCs w:val="18"/>
              </w:rPr>
              <w:t>Precoding</w:t>
            </w:r>
            <w:proofErr w:type="spellEnd"/>
            <w:r>
              <w:rPr>
                <w:rFonts w:eastAsia="等线" w:cs="Times New Roman"/>
                <w:color w:val="000000"/>
                <w:kern w:val="0"/>
                <w:sz w:val="18"/>
                <w:szCs w:val="18"/>
              </w:rPr>
              <w:t xml:space="preserve"> information and number of layers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Antenna port(s)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3</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5</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SRS request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CSI request</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6</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PTRS-DMRS association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8</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proofErr w:type="spellStart"/>
            <w:r>
              <w:rPr>
                <w:rFonts w:eastAsia="等线" w:cs="Times New Roman"/>
                <w:color w:val="000000"/>
                <w:kern w:val="0"/>
                <w:sz w:val="18"/>
                <w:szCs w:val="18"/>
              </w:rPr>
              <w:t>beta_offset</w:t>
            </w:r>
            <w:proofErr w:type="spellEnd"/>
            <w:r>
              <w:rPr>
                <w:rFonts w:eastAsia="等线" w:cs="Times New Roman"/>
                <w:color w:val="000000"/>
                <w:kern w:val="0"/>
                <w:sz w:val="18"/>
                <w:szCs w:val="18"/>
              </w:rPr>
              <w:t xml:space="preserve">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DMRS </w:t>
            </w:r>
            <w:r>
              <w:rPr>
                <w:rFonts w:eastAsia="等线" w:cs="Times New Roman"/>
                <w:color w:val="000000"/>
                <w:kern w:val="0"/>
                <w:sz w:val="18"/>
                <w:szCs w:val="18"/>
              </w:rPr>
              <w:t>sequence initialization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510"/>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Open-loop power control parameter set indication</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1A</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Priority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SRS offset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1B</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3</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UL/SUL indicator</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FSS</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proofErr w:type="spellStart"/>
            <w:r>
              <w:rPr>
                <w:rFonts w:eastAsia="等线" w:cs="Times New Roman"/>
                <w:color w:val="000000"/>
                <w:kern w:val="0"/>
                <w:sz w:val="18"/>
                <w:szCs w:val="18"/>
              </w:rPr>
              <w:t>ChannelAccess-Cpext</w:t>
            </w:r>
            <w:proofErr w:type="spellEnd"/>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Type 1</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24-bit CRC</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24</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24</w:t>
            </w:r>
          </w:p>
        </w:tc>
      </w:tr>
      <w:tr w:rsidR="004B76EF">
        <w:trPr>
          <w:trHeight w:val="28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Total bits</w:t>
            </w:r>
          </w:p>
        </w:tc>
        <w:tc>
          <w:tcPr>
            <w:tcW w:w="1701"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78</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left"/>
              <w:rPr>
                <w:rFonts w:eastAsia="等线" w:cs="Times New Roman"/>
                <w:color w:val="000000"/>
                <w:kern w:val="0"/>
                <w:sz w:val="18"/>
                <w:szCs w:val="18"/>
              </w:rPr>
            </w:pPr>
            <w:r>
              <w:rPr>
                <w:rFonts w:eastAsia="等线" w:cs="Times New Roman"/>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4B76EF" w:rsidRDefault="00774936">
            <w:pPr>
              <w:widowControl/>
              <w:jc w:val="right"/>
              <w:rPr>
                <w:rFonts w:eastAsia="等线" w:cs="Times New Roman"/>
                <w:color w:val="000000"/>
                <w:kern w:val="0"/>
                <w:sz w:val="18"/>
                <w:szCs w:val="18"/>
              </w:rPr>
            </w:pPr>
            <w:r>
              <w:rPr>
                <w:rFonts w:eastAsia="等线" w:cs="Times New Roman"/>
                <w:color w:val="000000"/>
                <w:kern w:val="0"/>
                <w:sz w:val="18"/>
                <w:szCs w:val="18"/>
              </w:rPr>
              <w:t>188</w:t>
            </w:r>
          </w:p>
        </w:tc>
      </w:tr>
    </w:tbl>
    <w:p w:rsidR="004B76EF" w:rsidRDefault="004B76EF">
      <w:pPr>
        <w:jc w:val="center"/>
      </w:pPr>
    </w:p>
    <w:p w:rsidR="004B76EF" w:rsidRDefault="00774936">
      <w:pPr>
        <w:pStyle w:val="Heading3"/>
      </w:pPr>
      <w:r>
        <w:rPr>
          <w:rFonts w:hint="eastAsia"/>
        </w:rPr>
        <w:t>B</w:t>
      </w:r>
      <w:r>
        <w:t>it width for Type 2 DCI filed</w:t>
      </w:r>
    </w:p>
    <w:p w:rsidR="004B76EF" w:rsidRDefault="00774936">
      <w:pPr>
        <w:spacing w:after="120" w:line="276" w:lineRule="auto"/>
      </w:pPr>
      <w:r>
        <w:rPr>
          <w:rFonts w:hint="eastAsia"/>
        </w:rPr>
        <w:t>R</w:t>
      </w:r>
      <w:r>
        <w:t>egarding to the bit width of Type 2 DCI field, we see there are three alternatives:</w:t>
      </w:r>
    </w:p>
    <w:p w:rsidR="004B76EF" w:rsidRDefault="00774936">
      <w:pPr>
        <w:pStyle w:val="ListParagraph"/>
        <w:numPr>
          <w:ilvl w:val="0"/>
          <w:numId w:val="7"/>
        </w:numPr>
        <w:spacing w:after="120" w:line="276" w:lineRule="auto"/>
        <w:ind w:firstLineChars="0"/>
      </w:pPr>
      <w:r>
        <w:rPr>
          <w:rFonts w:hint="eastAsia"/>
        </w:rPr>
        <w:t>A</w:t>
      </w:r>
      <w:r>
        <w:t xml:space="preserve">lt 1: The bit width of Type 2 DCI field is determined by the maximum required bit size for the field among all the candidate scheduled cell combinations </w:t>
      </w:r>
      <w:r>
        <w:t>allowed</w:t>
      </w:r>
      <w:r>
        <w:t xml:space="preserve"> by the CIF </w:t>
      </w:r>
      <w:r>
        <w:t>configuration</w:t>
      </w:r>
      <w:r>
        <w:t>;</w:t>
      </w:r>
    </w:p>
    <w:p w:rsidR="004B76EF" w:rsidRDefault="00774936">
      <w:pPr>
        <w:pStyle w:val="ListParagraph"/>
        <w:numPr>
          <w:ilvl w:val="0"/>
          <w:numId w:val="7"/>
        </w:numPr>
        <w:spacing w:after="120" w:line="276" w:lineRule="auto"/>
        <w:ind w:firstLineChars="0"/>
      </w:pPr>
      <w:r>
        <w:rPr>
          <w:rFonts w:hint="eastAsia"/>
        </w:rPr>
        <w:t>A</w:t>
      </w:r>
      <w:r>
        <w:t xml:space="preserve">lt 2: The bit width of Type 2 DCI field is determined by N*M, where </w:t>
      </w:r>
      <w:r>
        <w:t>N is the maximum number of cells which can be co-scheduled by DCI format 0_X/1_X, M is the maximum required bit size for the field among all the cells in the set of cells;</w:t>
      </w:r>
    </w:p>
    <w:p w:rsidR="004B76EF" w:rsidRDefault="00774936">
      <w:pPr>
        <w:pStyle w:val="ListParagraph"/>
        <w:numPr>
          <w:ilvl w:val="0"/>
          <w:numId w:val="7"/>
        </w:numPr>
        <w:spacing w:after="120" w:line="276" w:lineRule="auto"/>
        <w:ind w:firstLineChars="0"/>
      </w:pPr>
      <w:r>
        <w:rPr>
          <w:rFonts w:hint="eastAsia"/>
        </w:rPr>
        <w:lastRenderedPageBreak/>
        <w:t>A</w:t>
      </w:r>
      <w:r>
        <w:t>lt 3: The bit width of Type 2 DCI field is determined by the largest N values among</w:t>
      </w:r>
      <w:r>
        <w:t xml:space="preserve"> {Mi}, where Mi is the required bit size for the field corresponding to cell </w:t>
      </w:r>
      <w:proofErr w:type="spellStart"/>
      <w:r>
        <w:rPr>
          <w:i/>
        </w:rPr>
        <w:t>i</w:t>
      </w:r>
      <w:proofErr w:type="spellEnd"/>
      <w:r>
        <w:t xml:space="preserve"> in the set of cells.</w:t>
      </w:r>
    </w:p>
    <w:p w:rsidR="004B76EF" w:rsidRDefault="00774936">
      <w:r>
        <w:rPr>
          <w:rFonts w:hint="eastAsia"/>
        </w:rPr>
        <w:t>A</w:t>
      </w:r>
      <w:r>
        <w:t>ccording to the previous RAN1 meetings, the Type 2 DCI field includes MCS, RV, NDI, HARQ process number, FDRA, TPC for PUSCH, PTRS-DMRS association. MCS in</w:t>
      </w:r>
      <w:r>
        <w:t xml:space="preserve">dication field is defined as 5 </w:t>
      </w:r>
      <w:proofErr w:type="spellStart"/>
      <w:r>
        <w:t>bis</w:t>
      </w:r>
      <w:proofErr w:type="spellEnd"/>
      <w:r>
        <w:t>. NDI indication filed is defined as 1 bit. For other Type 2 DCI filed except MCS and NDI, the bit size of the field is not fixed and can be determined by related RRC signaling. And the configured bit size for each co-sche</w:t>
      </w:r>
      <w:r>
        <w:t xml:space="preserve">duled cell can be different. For these fields, Alt 1 and Alt 3 could compress the bit size and achieve the scheduling flexibility. Alt 1 requires the minimum </w:t>
      </w:r>
      <w:proofErr w:type="spellStart"/>
      <w:r>
        <w:t>bits</w:t>
      </w:r>
      <w:proofErr w:type="spellEnd"/>
      <w:r>
        <w:t xml:space="preserve"> for these DCI fields but UE needs to check each possible cell combination and calculate the r</w:t>
      </w:r>
      <w:r>
        <w:t>equired bit size among all the cell combinations. Alt 2/3 does not require UE to check each possible cell combination and can simply UE implementation at the costs of more bits.</w:t>
      </w:r>
    </w:p>
    <w:p w:rsidR="004B76EF" w:rsidRDefault="004B76EF"/>
    <w:p w:rsidR="004B76EF" w:rsidRDefault="00774936">
      <w:pPr>
        <w:rPr>
          <w:b/>
          <w:i/>
        </w:rPr>
      </w:pPr>
      <w:r>
        <w:rPr>
          <w:b/>
          <w:i/>
        </w:rPr>
        <w:t xml:space="preserve">Proposal 5: RAN1 considers the following alternatives to determine the bit </w:t>
      </w:r>
      <w:r>
        <w:rPr>
          <w:b/>
          <w:i/>
        </w:rPr>
        <w:t>width of Type 2 DCI field:</w:t>
      </w:r>
    </w:p>
    <w:p w:rsidR="004B76EF" w:rsidRDefault="00774936">
      <w:pPr>
        <w:pStyle w:val="ListParagraph"/>
        <w:numPr>
          <w:ilvl w:val="0"/>
          <w:numId w:val="7"/>
        </w:numPr>
        <w:spacing w:after="120" w:line="276" w:lineRule="auto"/>
        <w:ind w:firstLineChars="0"/>
        <w:rPr>
          <w:b/>
          <w:i/>
        </w:rPr>
      </w:pPr>
      <w:r>
        <w:rPr>
          <w:rFonts w:hint="eastAsia"/>
          <w:b/>
          <w:i/>
        </w:rPr>
        <w:t>A</w:t>
      </w:r>
      <w:r>
        <w:rPr>
          <w:b/>
          <w:i/>
        </w:rPr>
        <w:t xml:space="preserve">lt 1: The bit width of Type 2 DCI field is determined by the maximum required bit size for the field among all the candidate scheduled cell combinations </w:t>
      </w:r>
      <w:r>
        <w:rPr>
          <w:b/>
          <w:i/>
        </w:rPr>
        <w:t>allowed</w:t>
      </w:r>
      <w:r>
        <w:rPr>
          <w:b/>
          <w:i/>
        </w:rPr>
        <w:t xml:space="preserve"> by the CIF </w:t>
      </w:r>
      <w:r>
        <w:rPr>
          <w:b/>
          <w:i/>
        </w:rPr>
        <w:t>configuration</w:t>
      </w:r>
      <w:r>
        <w:rPr>
          <w:b/>
          <w:i/>
        </w:rPr>
        <w:t>;</w:t>
      </w:r>
    </w:p>
    <w:p w:rsidR="004B76EF" w:rsidRDefault="00774936">
      <w:pPr>
        <w:pStyle w:val="ListParagraph"/>
        <w:numPr>
          <w:ilvl w:val="0"/>
          <w:numId w:val="7"/>
        </w:numPr>
        <w:spacing w:after="120" w:line="276" w:lineRule="auto"/>
        <w:ind w:firstLineChars="0"/>
        <w:rPr>
          <w:b/>
          <w:i/>
        </w:rPr>
      </w:pPr>
      <w:r>
        <w:rPr>
          <w:rFonts w:hint="eastAsia"/>
          <w:b/>
          <w:i/>
        </w:rPr>
        <w:t>A</w:t>
      </w:r>
      <w:r>
        <w:rPr>
          <w:b/>
          <w:i/>
        </w:rPr>
        <w:t xml:space="preserve">lt 2: The bit width of Type 2 DCI field </w:t>
      </w:r>
      <w:r>
        <w:rPr>
          <w:b/>
          <w:i/>
        </w:rPr>
        <w:t>is determined by N*M, where N is the maximum number of cells which can be co-scheduled by DCI format 0_X/1_X, M is the maximum required bit size for the field among all the cells in the set of cells;</w:t>
      </w:r>
    </w:p>
    <w:p w:rsidR="004B76EF" w:rsidRDefault="00774936">
      <w:pPr>
        <w:pStyle w:val="ListParagraph"/>
        <w:numPr>
          <w:ilvl w:val="0"/>
          <w:numId w:val="7"/>
        </w:numPr>
        <w:spacing w:after="120" w:line="276" w:lineRule="auto"/>
        <w:ind w:firstLineChars="0"/>
        <w:rPr>
          <w:b/>
          <w:i/>
        </w:rPr>
      </w:pPr>
      <w:r>
        <w:rPr>
          <w:rFonts w:hint="eastAsia"/>
          <w:b/>
          <w:i/>
        </w:rPr>
        <w:t>A</w:t>
      </w:r>
      <w:r>
        <w:rPr>
          <w:b/>
          <w:i/>
        </w:rPr>
        <w:t>lt 3: The bit width of Type 2 DCI field is determined b</w:t>
      </w:r>
      <w:r>
        <w:rPr>
          <w:b/>
          <w:i/>
        </w:rPr>
        <w:t xml:space="preserve">y the largest N values among {Mi}, where Mi is the required bit size for the field for cell </w:t>
      </w:r>
      <w:proofErr w:type="spellStart"/>
      <w:r>
        <w:rPr>
          <w:b/>
          <w:i/>
        </w:rPr>
        <w:t>i</w:t>
      </w:r>
      <w:proofErr w:type="spellEnd"/>
      <w:r>
        <w:rPr>
          <w:b/>
          <w:i/>
        </w:rPr>
        <w:t xml:space="preserve"> in the set of cells.</w:t>
      </w:r>
    </w:p>
    <w:p w:rsidR="004B76EF" w:rsidRDefault="00774936">
      <w:pPr>
        <w:pStyle w:val="Heading3"/>
      </w:pPr>
      <w:r>
        <w:rPr>
          <w:rFonts w:hint="eastAsia"/>
        </w:rPr>
        <w:t>T</w:t>
      </w:r>
      <w:r>
        <w:t>DRA table design</w:t>
      </w:r>
    </w:p>
    <w:p w:rsidR="004B76EF" w:rsidRDefault="00774936">
      <w:pPr>
        <w:spacing w:after="120" w:line="276" w:lineRule="auto"/>
      </w:pPr>
      <w:r>
        <w:rPr>
          <w:rFonts w:hint="eastAsia"/>
        </w:rPr>
        <w:t>F</w:t>
      </w:r>
      <w:r>
        <w:t>or TDRA field, according to the agreement for TDRA in RAN1 #110bis e-meeting, it is defined as common indication among the</w:t>
      </w:r>
      <w:r>
        <w:t xml:space="preserve"> co-scheduled cells. One option for common TDRA design is to reuse the TDRA tables for single cell scheduling and the common TDRA field in DCI maps to the same row of multiple TDRA tables corresponding to the co-scheduled cells. Another option is to define</w:t>
      </w:r>
      <w:r>
        <w:t xml:space="preserve"> a joint TDRA table. If the TDRA table is defined per cell set, one row of the TDRA table includes the indications of {</w:t>
      </w:r>
      <w:r>
        <w:rPr>
          <w:rFonts w:cs="Times"/>
          <w:snapToGrid w:val="0"/>
          <w:szCs w:val="20"/>
        </w:rPr>
        <w:t xml:space="preserve"> SLIV, mapping type, scheduling offset K0 (or K2)</w:t>
      </w:r>
      <w:r>
        <w:t>} for each cell of the cell set. If the TDRA table is defined per cell combinations, one</w:t>
      </w:r>
      <w:r>
        <w:t xml:space="preserve"> row of the TDRA table includes the indications of </w:t>
      </w:r>
      <w:proofErr w:type="gramStart"/>
      <w:r>
        <w:t>{</w:t>
      </w:r>
      <w:r>
        <w:rPr>
          <w:rFonts w:cs="Times"/>
          <w:snapToGrid w:val="0"/>
          <w:szCs w:val="20"/>
        </w:rPr>
        <w:t xml:space="preserve"> SLIV</w:t>
      </w:r>
      <w:proofErr w:type="gramEnd"/>
      <w:r>
        <w:rPr>
          <w:rFonts w:cs="Times"/>
          <w:snapToGrid w:val="0"/>
          <w:szCs w:val="20"/>
        </w:rPr>
        <w:t>, mapping type, scheduling offset K0 (or K2)</w:t>
      </w:r>
      <w:r>
        <w:t>} for each cell of the cell combination. As the number of cell combinations would be much larger than the number of cell sets, the overhead of signaling fo</w:t>
      </w:r>
      <w:r>
        <w:t xml:space="preserve">r TDRA tables could much more when the table defined per cell combination than per cell set. The TDRA table defined per cell set is preferred. A joint TDRA table could be configured with the indications of </w:t>
      </w:r>
      <w:proofErr w:type="gramStart"/>
      <w:r>
        <w:t>{</w:t>
      </w:r>
      <w:r>
        <w:rPr>
          <w:rFonts w:cs="Times"/>
          <w:snapToGrid w:val="0"/>
          <w:szCs w:val="20"/>
        </w:rPr>
        <w:t xml:space="preserve"> SLIV</w:t>
      </w:r>
      <w:proofErr w:type="gramEnd"/>
      <w:r>
        <w:rPr>
          <w:rFonts w:cs="Times"/>
          <w:snapToGrid w:val="0"/>
          <w:szCs w:val="20"/>
        </w:rPr>
        <w:t>, mapping type, scheduling offset K0 (or K2)</w:t>
      </w:r>
      <w:r>
        <w:t>} for multiple cells with the considering of the multi-cell scheduling timing. It is better than reusing the TDRA table for single-cell scheduling.</w:t>
      </w:r>
    </w:p>
    <w:p w:rsidR="004B76EF" w:rsidRDefault="00774936">
      <w:pPr>
        <w:spacing w:after="120" w:line="276" w:lineRule="auto"/>
      </w:pPr>
      <w:r>
        <w:rPr>
          <w:b/>
          <w:i/>
        </w:rPr>
        <w:t>Proposal 6: Joint TDRA table defined per cell set is adopted.</w:t>
      </w:r>
    </w:p>
    <w:p w:rsidR="004B76EF" w:rsidRDefault="00774936">
      <w:pPr>
        <w:pStyle w:val="Heading2"/>
        <w:spacing w:line="276" w:lineRule="auto"/>
      </w:pPr>
      <w:r>
        <w:t>DCI monitoring procedure</w:t>
      </w:r>
    </w:p>
    <w:p w:rsidR="004B76EF" w:rsidRDefault="00774936">
      <w:pPr>
        <w:spacing w:after="120" w:line="276" w:lineRule="auto"/>
      </w:pPr>
      <w:r>
        <w:t>When BD/CCE is counte</w:t>
      </w:r>
      <w:r>
        <w:t xml:space="preserve">d on one cell, multi-cell scheduling and single-cell scheduling will share the PDCCH monitoring capability for the selected scheduled cell. The BD limitation for the cell is defined as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Pr>
          <w:rFonts w:hint="eastAsia"/>
        </w:rPr>
        <w:t>.</w:t>
      </w:r>
      <w:r>
        <w:t xml:space="preserve"> The PDCCH monitoring cap</w:t>
      </w:r>
      <w:r>
        <w:t xml:space="preserve">ability for single-cell scheduling and the capability for </w:t>
      </w:r>
      <w:r>
        <w:lastRenderedPageBreak/>
        <w:t>multi-cell scheduling could be implicitly determined by the search space sets configuration. A scaling factor could be introduced to explicitly define the BD limitation for single-cell scheduling an</w:t>
      </w:r>
      <w:r>
        <w:t xml:space="preserve">d multi-cell scheduling. For an example, the BD limitation for multi-cell scheduling is </w:t>
      </w:r>
      <m:oMath>
        <m:func>
          <m:funcPr>
            <m:ctrlPr>
              <w:rPr>
                <w:rFonts w:ascii="Cambria Math" w:hAnsi="Cambria Math"/>
              </w:rPr>
            </m:ctrlPr>
          </m:funcPr>
          <m:fName>
            <m:r>
              <w:rPr>
                <w:rFonts w:ascii="Cambria Math" w:hAnsi="Cambria Math"/>
              </w:rPr>
              <m:t>α</m:t>
            </m:r>
            <m:r>
              <m:rPr>
                <m:sty m:val="p"/>
              </m:rPr>
              <w:rPr>
                <w:rFonts w:ascii="Cambria Math" w:hAnsi="Cambria Math"/>
              </w:rPr>
              <m:t>*</m:t>
            </m:r>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Pr>
          <w:rFonts w:hint="eastAsia"/>
        </w:rPr>
        <w:t>,</w:t>
      </w:r>
      <w:r>
        <w:t xml:space="preserve"> and the BD limitation for single-cell scheduling is </w:t>
      </w:r>
      <m:oMath>
        <m:func>
          <m:funcPr>
            <m:ctrlPr>
              <w:rPr>
                <w:rFonts w:ascii="Cambria Math" w:hAnsi="Cambria Math"/>
              </w:rPr>
            </m:ctrlPr>
          </m:funcPr>
          <m:fName>
            <m:d>
              <m:dPr>
                <m:ctrlPr>
                  <w:rPr>
                    <w:rFonts w:ascii="Cambria Math" w:hAnsi="Cambria Math"/>
                  </w:rPr>
                </m:ctrlPr>
              </m:dPr>
              <m:e>
                <m:r>
                  <m:rPr>
                    <m:sty m:val="p"/>
                  </m:rPr>
                  <w:rPr>
                    <w:rFonts w:ascii="Cambria Math" w:hAnsi="Cambria Math"/>
                  </w:rPr>
                  <m:t>1-</m:t>
                </m:r>
                <m:r>
                  <w:rPr>
                    <w:rFonts w:ascii="Cambria Math" w:hAnsi="Cambria Math"/>
                  </w:rPr>
                  <m:t>α</m:t>
                </m:r>
              </m:e>
            </m:d>
            <m:r>
              <m:rPr>
                <m:sty m:val="p"/>
              </m:rPr>
              <w:rPr>
                <w:rFonts w:ascii="Cambria Math" w:hAnsi="Cambria Math"/>
              </w:rPr>
              <m:t>*</m:t>
            </m:r>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w:proofErr w:type="spellStart"/>
                    <m:r>
                      <m:rPr>
                        <m:nor/>
                      </m:rPr>
                      <m:t>max,slot</m:t>
                    </m:r>
                    <w:proofErr w:type="spellEnd"/>
                    <m:r>
                      <m:rPr>
                        <m:nor/>
                      </m:rPr>
                      <m: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e>
            </m:d>
          </m:e>
        </m:func>
      </m:oMath>
      <w:r>
        <w:rPr>
          <w:rFonts w:hint="eastAsia"/>
        </w:rPr>
        <w:t>.</w:t>
      </w:r>
      <w:r>
        <w:t xml:space="preserve"> The scaling fa</w:t>
      </w:r>
      <w:r>
        <w:t>ctor would also work for CCE limitation. The explicitly method could helpful if the search space sets for single-cell scheduling or multi-cell scheduling are dropped because of PDCCH overbooking.</w:t>
      </w:r>
    </w:p>
    <w:p w:rsidR="004B76EF" w:rsidRDefault="00774936">
      <w:pPr>
        <w:spacing w:line="276" w:lineRule="auto"/>
        <w:rPr>
          <w:b/>
          <w:i/>
        </w:rPr>
      </w:pPr>
      <w:r>
        <w:rPr>
          <w:rFonts w:hint="eastAsia"/>
          <w:b/>
          <w:i/>
        </w:rPr>
        <w:t>P</w:t>
      </w:r>
      <w:r>
        <w:rPr>
          <w:b/>
          <w:i/>
        </w:rPr>
        <w:t>roposal 7: A scaling factor is introduced to explicitly def</w:t>
      </w:r>
      <w:r>
        <w:rPr>
          <w:b/>
          <w:i/>
        </w:rPr>
        <w:t xml:space="preserve">ine the capabilities for single-cell scheduling and multi-cell scheduling. </w:t>
      </w:r>
    </w:p>
    <w:p w:rsidR="004B76EF" w:rsidRDefault="00774936">
      <w:pPr>
        <w:spacing w:after="120" w:line="276" w:lineRule="auto"/>
      </w:pPr>
      <w:r>
        <w:t>The maximum of different DCI size is limited as 4 and 3 for the DCI format scrambled with C-RNTI. In current spec, a procedure is defined for the configuration with DCI format 0_0/</w:t>
      </w:r>
      <w:r>
        <w:t>0_1/0_1/1_1/0_2/1_2. For the worst case, there are 3 different DCI sizes separately for 0_0/0_1, 0_1/1_1 and 0_2/1_2, and the DCI format could be distinguished by different DCI sizes. When the UE is configured with 0_0/1_0/0_1/1_1/0_2/1_2/0_X/1_</w:t>
      </w:r>
      <w:r>
        <w:rPr>
          <w:rFonts w:hint="eastAsia"/>
        </w:rPr>
        <w:t>X</w:t>
      </w:r>
      <w:r>
        <w:t>, the budg</w:t>
      </w:r>
      <w:r>
        <w:t>et of 3 different DCI sizes becomes not large enough to distinguish 4 DCI formats. A simple way is to set a restriction for DCI format configuration, such as DCI format 0_2/1_2 and DCI format 0_X/1_X cannot be configured simultaneously. In this way, the DC</w:t>
      </w:r>
      <w:r>
        <w:t>I size alignment could be reused by replacing DCI format 0_2 by 0_X, and replacing 1_2 by 1_X.</w:t>
      </w:r>
    </w:p>
    <w:p w:rsidR="004B76EF" w:rsidRDefault="00774936">
      <w:pPr>
        <w:spacing w:line="276" w:lineRule="auto"/>
      </w:pPr>
      <w:r>
        <w:rPr>
          <w:b/>
          <w:i/>
        </w:rPr>
        <w:t>Proposal 8: Set a restriction for DCI format configuration, such as DCI format 0_2/1_2 and DCI format 0_X/1_X cannot be configured simultaneously.</w:t>
      </w:r>
    </w:p>
    <w:p w:rsidR="004B76EF" w:rsidRDefault="004B76EF">
      <w:pPr>
        <w:rPr>
          <w:b/>
          <w:i/>
        </w:rPr>
      </w:pPr>
    </w:p>
    <w:p w:rsidR="004B76EF" w:rsidRDefault="00774936">
      <w:pPr>
        <w:pStyle w:val="Heading2"/>
      </w:pPr>
      <w:r>
        <w:t>HARQ</w:t>
      </w:r>
      <w:r>
        <w:rPr>
          <w:rFonts w:hint="eastAsia"/>
        </w:rPr>
        <w:t>-</w:t>
      </w:r>
      <w:r>
        <w:t xml:space="preserve">ACK </w:t>
      </w:r>
      <w:r>
        <w:rPr>
          <w:rFonts w:hint="eastAsia"/>
        </w:rPr>
        <w:t>feed</w:t>
      </w:r>
      <w:r>
        <w:rPr>
          <w:rFonts w:hint="eastAsia"/>
        </w:rPr>
        <w:t>back</w:t>
      </w:r>
      <w:r>
        <w:t xml:space="preserve"> for multi-cell scheduling</w:t>
      </w:r>
    </w:p>
    <w:p w:rsidR="004B76EF" w:rsidRDefault="00774936">
      <w:pPr>
        <w:pStyle w:val="Heading3"/>
      </w:pPr>
      <w:r>
        <w:rPr>
          <w:rFonts w:hint="eastAsia"/>
        </w:rPr>
        <w:t>H</w:t>
      </w:r>
      <w:r>
        <w:t>ARQ-ACK feedback timing determination</w:t>
      </w:r>
    </w:p>
    <w:p w:rsidR="004B76EF" w:rsidRDefault="00774936">
      <w:r>
        <w:rPr>
          <w:rFonts w:hint="eastAsia"/>
        </w:rPr>
        <w:t>R</w:t>
      </w:r>
      <w:r>
        <w:t xml:space="preserve">egarding the reference PDSCH for HARQ-ACK feedback timing determination, the following </w:t>
      </w:r>
      <w:r>
        <w:rPr>
          <w:rFonts w:hint="eastAsia"/>
        </w:rPr>
        <w:t>proposal</w:t>
      </w:r>
      <w:r>
        <w:t xml:space="preserve"> </w:t>
      </w:r>
      <w:r>
        <w:rPr>
          <w:rFonts w:hint="eastAsia"/>
        </w:rPr>
        <w:t>was</w:t>
      </w:r>
      <w:r>
        <w:t xml:space="preserve"> extensively discussed in RAN1#110</w:t>
      </w:r>
      <w:r>
        <w:rPr>
          <w:rFonts w:hint="eastAsia"/>
        </w:rPr>
        <w:t>bis</w:t>
      </w:r>
      <w:r>
        <w:t xml:space="preserve"> meeting. We support the proposal 4-1rev2 since it can guarantee enough processing time for PDSCH and preparation time for HARQ-ACK. </w:t>
      </w:r>
    </w:p>
    <w:tbl>
      <w:tblPr>
        <w:tblStyle w:val="TableGrid"/>
        <w:tblW w:w="0" w:type="auto"/>
        <w:tblLook w:val="04A0"/>
      </w:tblPr>
      <w:tblGrid>
        <w:gridCol w:w="9286"/>
      </w:tblGrid>
      <w:tr w:rsidR="004B76EF">
        <w:tc>
          <w:tcPr>
            <w:tcW w:w="9286" w:type="dxa"/>
          </w:tcPr>
          <w:p w:rsidR="004B76EF" w:rsidRDefault="00774936">
            <w:pPr>
              <w:widowControl/>
              <w:overflowPunct w:val="0"/>
              <w:autoSpaceDE w:val="0"/>
              <w:autoSpaceDN w:val="0"/>
              <w:snapToGrid w:val="0"/>
              <w:rPr>
                <w:rFonts w:eastAsia="MS Mincho" w:cs="Times"/>
                <w:b/>
                <w:szCs w:val="20"/>
                <w:lang w:eastAsia="ja-JP"/>
              </w:rPr>
            </w:pPr>
            <w:r>
              <w:rPr>
                <w:rFonts w:eastAsia="MS Mincho" w:cs="Times"/>
                <w:b/>
                <w:szCs w:val="20"/>
                <w:highlight w:val="cyan"/>
                <w:lang w:eastAsia="ja-JP"/>
              </w:rPr>
              <w:t>Proposal 4-1rev2:</w:t>
            </w:r>
          </w:p>
          <w:p w:rsidR="004B76EF" w:rsidRDefault="00774936">
            <w:pPr>
              <w:widowControl/>
              <w:overflowPunct w:val="0"/>
              <w:autoSpaceDE w:val="0"/>
              <w:autoSpaceDN w:val="0"/>
              <w:snapToGrid w:val="0"/>
              <w:rPr>
                <w:rFonts w:eastAsia="MS Mincho" w:cs="Times"/>
                <w:szCs w:val="20"/>
                <w:lang w:eastAsia="ja-JP"/>
              </w:rPr>
            </w:pPr>
            <w:r>
              <w:rPr>
                <w:rFonts w:eastAsia="MS Mincho" w:cs="Times" w:hint="eastAsia"/>
                <w:szCs w:val="20"/>
                <w:lang w:eastAsia="ja-JP"/>
              </w:rPr>
              <w:t>•</w:t>
            </w:r>
            <w:r>
              <w:rPr>
                <w:rFonts w:eastAsia="MS Mincho" w:cs="Times"/>
                <w:szCs w:val="20"/>
                <w:lang w:eastAsia="ja-JP"/>
              </w:rPr>
              <w:t>For determining the timing of a PUCCH carrying HARQ-ACK information corresponding to a set of co-schedu</w:t>
            </w:r>
            <w:r>
              <w:rPr>
                <w:rFonts w:eastAsia="MS Mincho" w:cs="Times"/>
                <w:szCs w:val="20"/>
                <w:lang w:eastAsia="ja-JP"/>
              </w:rPr>
              <w:t>led PDSCHs by a DCI format 1_X, the reference PDSCH is the PDSCH ending last as indicated in the DCI format 1_X among the set of co-scheduled PDSCHs.</w:t>
            </w:r>
          </w:p>
        </w:tc>
      </w:tr>
    </w:tbl>
    <w:p w:rsidR="004B76EF" w:rsidRDefault="00774936">
      <w:pPr>
        <w:rPr>
          <w:b/>
          <w:i/>
        </w:rPr>
      </w:pPr>
      <w:r>
        <w:rPr>
          <w:rFonts w:hint="eastAsia"/>
          <w:b/>
          <w:i/>
        </w:rPr>
        <w:t>P</w:t>
      </w:r>
      <w:r>
        <w:rPr>
          <w:b/>
          <w:i/>
        </w:rPr>
        <w:t xml:space="preserve">roposal 9: For determining the timing of </w:t>
      </w:r>
      <w:proofErr w:type="gramStart"/>
      <w:r>
        <w:rPr>
          <w:b/>
          <w:i/>
        </w:rPr>
        <w:t>a PUCCH</w:t>
      </w:r>
      <w:proofErr w:type="gramEnd"/>
      <w:r>
        <w:rPr>
          <w:b/>
          <w:i/>
        </w:rPr>
        <w:t xml:space="preserve"> carrying HARQ-ACK information corresponding to a set of</w:t>
      </w:r>
      <w:r>
        <w:rPr>
          <w:b/>
          <w:i/>
        </w:rPr>
        <w:t xml:space="preserve"> co-scheduled PDSCHs by a DCI format 1_X, the reference PDSCH is the PDSCH ending last as indicated in the DCI format 1_X among the set of co-scheduled PDSCHs.</w:t>
      </w:r>
    </w:p>
    <w:p w:rsidR="004B76EF" w:rsidRDefault="00774936">
      <w:pPr>
        <w:pStyle w:val="Heading3"/>
      </w:pPr>
      <w:r>
        <w:rPr>
          <w:rFonts w:hint="eastAsia"/>
        </w:rPr>
        <w:t>T</w:t>
      </w:r>
      <w:r>
        <w:t>ype-2 HARQ-ACK codebook</w:t>
      </w:r>
    </w:p>
    <w:p w:rsidR="004B76EF" w:rsidRDefault="00774936">
      <w:r>
        <w:rPr>
          <w:rFonts w:hint="eastAsia"/>
        </w:rPr>
        <w:t>I</w:t>
      </w:r>
      <w:r>
        <w:t xml:space="preserve">n </w:t>
      </w:r>
      <w:r>
        <w:rPr>
          <w:rFonts w:hint="eastAsia"/>
        </w:rPr>
        <w:t>previous</w:t>
      </w:r>
      <w:r>
        <w:t xml:space="preserve"> RAN1 meeting</w:t>
      </w:r>
      <w:r>
        <w:rPr>
          <w:rFonts w:hint="eastAsia"/>
        </w:rPr>
        <w:t>s</w:t>
      </w:r>
      <w:r>
        <w:t xml:space="preserve">, quite a bit of progress was made for Type-2 </w:t>
      </w:r>
      <w:r>
        <w:t>HARQ-ACK codebook:</w:t>
      </w:r>
    </w:p>
    <w:tbl>
      <w:tblPr>
        <w:tblStyle w:val="TableGrid"/>
        <w:tblW w:w="0" w:type="auto"/>
        <w:tblLook w:val="04A0"/>
      </w:tblPr>
      <w:tblGrid>
        <w:gridCol w:w="9286"/>
      </w:tblGrid>
      <w:tr w:rsidR="004B76EF">
        <w:tc>
          <w:tcPr>
            <w:tcW w:w="9286" w:type="dxa"/>
          </w:tcPr>
          <w:p w:rsidR="004B76EF" w:rsidRDefault="00774936">
            <w:pPr>
              <w:keepNext/>
              <w:rPr>
                <w:rFonts w:eastAsia="Malgun Gothic" w:cs="Times"/>
                <w:b/>
                <w:bCs/>
                <w:szCs w:val="20"/>
                <w:highlight w:val="green"/>
                <w:lang w:eastAsia="ko-KR"/>
              </w:rPr>
            </w:pPr>
            <w:r>
              <w:rPr>
                <w:rFonts w:cs="Times"/>
                <w:b/>
                <w:bCs/>
                <w:szCs w:val="20"/>
                <w:highlight w:val="green"/>
              </w:rPr>
              <w:lastRenderedPageBreak/>
              <w:t>Agreement</w:t>
            </w:r>
          </w:p>
          <w:p w:rsidR="004B76EF" w:rsidRDefault="00774936">
            <w:pPr>
              <w:widowControl/>
              <w:numPr>
                <w:ilvl w:val="0"/>
                <w:numId w:val="9"/>
              </w:numPr>
              <w:overflowPunct w:val="0"/>
              <w:autoSpaceDE w:val="0"/>
              <w:autoSpaceDN w:val="0"/>
              <w:snapToGrid w:val="0"/>
              <w:textAlignment w:val="baseline"/>
              <w:rPr>
                <w:rFonts w:cs="Times"/>
                <w:snapToGrid w:val="0"/>
                <w:szCs w:val="20"/>
              </w:rPr>
            </w:pPr>
            <w:r>
              <w:rPr>
                <w:rFonts w:cs="Times"/>
                <w:snapToGrid w:val="0"/>
                <w:szCs w:val="20"/>
              </w:rPr>
              <w:t xml:space="preserve">For Type-2 HARQ-ACK codebook, if at least one cell of a set of cells which can be co-scheduled by DCI format 1_X is configured with maximum 2 </w:t>
            </w:r>
            <w:proofErr w:type="spellStart"/>
            <w:r>
              <w:rPr>
                <w:rFonts w:cs="Times"/>
                <w:snapToGrid w:val="0"/>
                <w:szCs w:val="20"/>
              </w:rPr>
              <w:t>codewords</w:t>
            </w:r>
            <w:proofErr w:type="spellEnd"/>
            <w:r>
              <w:rPr>
                <w:rFonts w:cs="Times"/>
                <w:snapToGrid w:val="0"/>
                <w:szCs w:val="20"/>
              </w:rPr>
              <w:t xml:space="preserve"> per PDSCH without spatial bundling, the number of HARQ-ACK information bits</w:t>
            </w:r>
            <w:r>
              <w:rPr>
                <w:rFonts w:cs="Times"/>
                <w:snapToGrid w:val="0"/>
                <w:szCs w:val="20"/>
              </w:rPr>
              <w:t xml:space="preserve"> for each DCI format 1_X that schedules more than one cell of the set of cells is equal to M, where M is the maximum number of TBs which can be co-scheduled by a DCI format 1_X in the PUCCH group for the UE.</w:t>
            </w:r>
          </w:p>
          <w:p w:rsidR="004B76EF" w:rsidRDefault="004B76EF">
            <w:pPr>
              <w:rPr>
                <w:rFonts w:cs="Times"/>
                <w:color w:val="000000"/>
                <w:szCs w:val="20"/>
                <w:lang w:eastAsia="ko-KR"/>
              </w:rPr>
            </w:pPr>
          </w:p>
          <w:p w:rsidR="004B76EF" w:rsidRDefault="00774936">
            <w:pPr>
              <w:keepNext/>
              <w:rPr>
                <w:rFonts w:eastAsia="Malgun Gothic" w:cs="Times"/>
                <w:b/>
                <w:bCs/>
                <w:szCs w:val="20"/>
                <w:highlight w:val="green"/>
                <w:lang w:eastAsia="ko-KR"/>
              </w:rPr>
            </w:pPr>
            <w:r>
              <w:rPr>
                <w:rFonts w:cs="Times"/>
                <w:b/>
                <w:bCs/>
                <w:szCs w:val="20"/>
                <w:highlight w:val="green"/>
              </w:rPr>
              <w:t>Agreement</w:t>
            </w:r>
          </w:p>
          <w:p w:rsidR="004B76EF" w:rsidRDefault="00774936">
            <w:pPr>
              <w:widowControl/>
              <w:numPr>
                <w:ilvl w:val="0"/>
                <w:numId w:val="9"/>
              </w:numPr>
              <w:overflowPunct w:val="0"/>
              <w:autoSpaceDE w:val="0"/>
              <w:autoSpaceDN w:val="0"/>
              <w:snapToGrid w:val="0"/>
              <w:textAlignment w:val="baseline"/>
              <w:rPr>
                <w:rFonts w:cs="Times"/>
                <w:snapToGrid w:val="0"/>
                <w:szCs w:val="20"/>
              </w:rPr>
            </w:pPr>
            <w:r>
              <w:rPr>
                <w:rFonts w:cs="Times"/>
                <w:snapToGrid w:val="0"/>
                <w:szCs w:val="20"/>
              </w:rPr>
              <w:t>For Type-2 HARQ-ACK codebook, a DCI f</w:t>
            </w:r>
            <w:r>
              <w:rPr>
                <w:rFonts w:cs="Times"/>
                <w:snapToGrid w:val="0"/>
                <w:szCs w:val="20"/>
              </w:rPr>
              <w:t xml:space="preserve">ormat 1_X scheduling more than one cell is associated with the second sub-codebook when the number of cells with actual PDSCH reception due to collision with semi-static TDD DL/UL configuration is one. </w:t>
            </w:r>
          </w:p>
          <w:p w:rsidR="004B76EF" w:rsidRDefault="00774936">
            <w:pPr>
              <w:widowControl/>
              <w:numPr>
                <w:ilvl w:val="0"/>
                <w:numId w:val="9"/>
              </w:numPr>
              <w:overflowPunct w:val="0"/>
              <w:autoSpaceDE w:val="0"/>
              <w:autoSpaceDN w:val="0"/>
              <w:snapToGrid w:val="0"/>
              <w:textAlignment w:val="baseline"/>
              <w:rPr>
                <w:rFonts w:cs="Times"/>
                <w:snapToGrid w:val="0"/>
                <w:szCs w:val="20"/>
              </w:rPr>
            </w:pPr>
            <w:r>
              <w:rPr>
                <w:rFonts w:cs="Times"/>
                <w:snapToGrid w:val="0"/>
                <w:szCs w:val="20"/>
              </w:rPr>
              <w:t>If a UE is scheduled by a DCI format 1_X to receive P</w:t>
            </w:r>
            <w:r>
              <w:rPr>
                <w:rFonts w:cs="Times"/>
                <w:snapToGrid w:val="0"/>
                <w:szCs w:val="20"/>
              </w:rPr>
              <w:t xml:space="preserve">DSCH over multiple cells, and if </w:t>
            </w:r>
            <w:proofErr w:type="spellStart"/>
            <w:r>
              <w:rPr>
                <w:rFonts w:cs="Times"/>
                <w:snapToGrid w:val="0"/>
                <w:szCs w:val="20"/>
              </w:rPr>
              <w:t>tdd</w:t>
            </w:r>
            <w:proofErr w:type="spellEnd"/>
            <w:r>
              <w:rPr>
                <w:rFonts w:cs="Times"/>
                <w:snapToGrid w:val="0"/>
                <w:szCs w:val="20"/>
              </w:rPr>
              <w:t>-UL-DL-</w:t>
            </w:r>
            <w:proofErr w:type="spellStart"/>
            <w:r>
              <w:rPr>
                <w:rFonts w:cs="Times"/>
                <w:snapToGrid w:val="0"/>
                <w:szCs w:val="20"/>
              </w:rPr>
              <w:t>ConfigurationCommon</w:t>
            </w:r>
            <w:proofErr w:type="spellEnd"/>
            <w:r>
              <w:rPr>
                <w:rFonts w:cs="Times"/>
                <w:snapToGrid w:val="0"/>
                <w:szCs w:val="20"/>
              </w:rPr>
              <w:t xml:space="preserve">, or </w:t>
            </w:r>
            <w:proofErr w:type="spellStart"/>
            <w:r>
              <w:rPr>
                <w:rFonts w:cs="Times"/>
                <w:snapToGrid w:val="0"/>
                <w:szCs w:val="20"/>
              </w:rPr>
              <w:t>tdd</w:t>
            </w:r>
            <w:proofErr w:type="spellEnd"/>
            <w:r>
              <w:rPr>
                <w:rFonts w:cs="Times"/>
                <w:snapToGrid w:val="0"/>
                <w:szCs w:val="20"/>
              </w:rPr>
              <w:t>-UL-DL-</w:t>
            </w:r>
            <w:proofErr w:type="spellStart"/>
            <w:r>
              <w:rPr>
                <w:rFonts w:cs="Times"/>
                <w:snapToGrid w:val="0"/>
                <w:szCs w:val="20"/>
              </w:rPr>
              <w:t>ConfigurationDedicated</w:t>
            </w:r>
            <w:proofErr w:type="spellEnd"/>
            <w:r>
              <w:rPr>
                <w:rFonts w:cs="Times"/>
                <w:snapToGrid w:val="0"/>
                <w:szCs w:val="20"/>
              </w:rPr>
              <w:t>, indicates that, for a cell from the multiple cells, at least one symbol from a set of symbols where the UE is scheduled PDSCH reception in the cell is an u</w:t>
            </w:r>
            <w:r>
              <w:rPr>
                <w:rFonts w:cs="Times"/>
                <w:snapToGrid w:val="0"/>
                <w:szCs w:val="20"/>
              </w:rPr>
              <w:t xml:space="preserve">plink symbol, the UE does not receive the PDSCH in the cell. </w:t>
            </w:r>
          </w:p>
          <w:p w:rsidR="004B76EF" w:rsidRDefault="00774936">
            <w:pPr>
              <w:widowControl/>
              <w:numPr>
                <w:ilvl w:val="0"/>
                <w:numId w:val="9"/>
              </w:numPr>
              <w:overflowPunct w:val="0"/>
              <w:autoSpaceDE w:val="0"/>
              <w:autoSpaceDN w:val="0"/>
              <w:snapToGrid w:val="0"/>
              <w:textAlignment w:val="baseline"/>
              <w:rPr>
                <w:rFonts w:cs="Times"/>
                <w:snapToGrid w:val="0"/>
                <w:szCs w:val="20"/>
              </w:rPr>
            </w:pPr>
            <w:r>
              <w:rPr>
                <w:rFonts w:cs="Times"/>
                <w:snapToGrid w:val="0"/>
                <w:szCs w:val="20"/>
              </w:rPr>
              <w:t xml:space="preserve">If a UE is scheduled by a DCI format 0_X to transmit PUSCH over multiple cells, and if </w:t>
            </w:r>
            <w:proofErr w:type="spellStart"/>
            <w:r>
              <w:rPr>
                <w:rFonts w:cs="Times"/>
                <w:snapToGrid w:val="0"/>
                <w:szCs w:val="20"/>
              </w:rPr>
              <w:t>tdd</w:t>
            </w:r>
            <w:proofErr w:type="spellEnd"/>
            <w:r>
              <w:rPr>
                <w:rFonts w:cs="Times"/>
                <w:snapToGrid w:val="0"/>
                <w:szCs w:val="20"/>
              </w:rPr>
              <w:t>-UL-DL-</w:t>
            </w:r>
            <w:proofErr w:type="spellStart"/>
            <w:r>
              <w:rPr>
                <w:rFonts w:cs="Times"/>
                <w:snapToGrid w:val="0"/>
                <w:szCs w:val="20"/>
              </w:rPr>
              <w:t>ConfigurationCommon</w:t>
            </w:r>
            <w:proofErr w:type="spellEnd"/>
            <w:r>
              <w:rPr>
                <w:rFonts w:cs="Times"/>
                <w:snapToGrid w:val="0"/>
                <w:szCs w:val="20"/>
              </w:rPr>
              <w:t xml:space="preserve">, or </w:t>
            </w:r>
            <w:proofErr w:type="spellStart"/>
            <w:r>
              <w:rPr>
                <w:rFonts w:cs="Times"/>
                <w:snapToGrid w:val="0"/>
                <w:szCs w:val="20"/>
              </w:rPr>
              <w:t>tdd</w:t>
            </w:r>
            <w:proofErr w:type="spellEnd"/>
            <w:r>
              <w:rPr>
                <w:rFonts w:cs="Times"/>
                <w:snapToGrid w:val="0"/>
                <w:szCs w:val="20"/>
              </w:rPr>
              <w:t>-UL-DL-</w:t>
            </w:r>
            <w:proofErr w:type="spellStart"/>
            <w:r>
              <w:rPr>
                <w:rFonts w:cs="Times"/>
                <w:snapToGrid w:val="0"/>
                <w:szCs w:val="20"/>
              </w:rPr>
              <w:t>ConfigurationDedicated</w:t>
            </w:r>
            <w:proofErr w:type="spellEnd"/>
            <w:r>
              <w:rPr>
                <w:rFonts w:cs="Times"/>
                <w:snapToGrid w:val="0"/>
                <w:szCs w:val="20"/>
              </w:rPr>
              <w:t>, indicates that, for a cell from the mul</w:t>
            </w:r>
            <w:r>
              <w:rPr>
                <w:rFonts w:cs="Times"/>
                <w:snapToGrid w:val="0"/>
                <w:szCs w:val="20"/>
              </w:rPr>
              <w:t>tiple cells, at least one symbol from a set of symbols where the UE is scheduled PUSCH transmission in the cell is a downlink symbol, the UE does not transmit the PUSCH in the cell.</w:t>
            </w:r>
          </w:p>
        </w:tc>
      </w:tr>
    </w:tbl>
    <w:p w:rsidR="004B76EF" w:rsidRDefault="00774936">
      <w:pPr>
        <w:spacing w:before="120" w:after="120" w:line="276" w:lineRule="auto"/>
      </w:pPr>
      <w:r>
        <w:rPr>
          <w:rFonts w:hint="eastAsia"/>
        </w:rPr>
        <w:t>T</w:t>
      </w:r>
      <w:r>
        <w:t xml:space="preserve">here is one remaining issue for type-2 HARQ-ACK codebook construction: </w:t>
      </w:r>
      <w:r>
        <w:t>the reference cell for DAI counting and last DCI determination. This issue was heated discussed in previous RAN1 meetings and the following proposal was supported by most of companies:</w:t>
      </w:r>
    </w:p>
    <w:tbl>
      <w:tblPr>
        <w:tblStyle w:val="TableGrid"/>
        <w:tblW w:w="0" w:type="auto"/>
        <w:tblLook w:val="04A0"/>
      </w:tblPr>
      <w:tblGrid>
        <w:gridCol w:w="9286"/>
      </w:tblGrid>
      <w:tr w:rsidR="004B76EF">
        <w:tc>
          <w:tcPr>
            <w:tcW w:w="9286" w:type="dxa"/>
          </w:tcPr>
          <w:p w:rsidR="004B76EF" w:rsidRDefault="00774936">
            <w:pPr>
              <w:spacing w:before="120" w:after="120" w:line="276" w:lineRule="auto"/>
              <w:rPr>
                <w:b/>
              </w:rPr>
            </w:pPr>
            <w:r>
              <w:rPr>
                <w:b/>
                <w:highlight w:val="cyan"/>
              </w:rPr>
              <w:t>Proposal 4-4rev3:</w:t>
            </w:r>
          </w:p>
          <w:p w:rsidR="004B76EF" w:rsidRDefault="00774936">
            <w:pPr>
              <w:spacing w:before="120" w:after="120" w:line="276" w:lineRule="auto"/>
            </w:pPr>
            <w:r>
              <w:rPr>
                <w:rFonts w:hint="eastAsia"/>
              </w:rPr>
              <w:t>•</w:t>
            </w:r>
            <w:r>
              <w:t>For Type-2 HARQ-ACK codebook, for a set of cells whi</w:t>
            </w:r>
            <w:r>
              <w:t>ch is co-scheduled by a DCI format 1_X, the reference PDSCH to determine DAI counting is the PDSCH with smallest serving cell index among the set of co-scheduled cells.</w:t>
            </w:r>
          </w:p>
          <w:p w:rsidR="004B76EF" w:rsidRDefault="00774936">
            <w:pPr>
              <w:spacing w:before="120" w:after="120" w:line="276" w:lineRule="auto"/>
            </w:pPr>
            <w:r>
              <w:rPr>
                <w:rFonts w:hint="eastAsia"/>
              </w:rPr>
              <w:t>•</w:t>
            </w:r>
            <w:r>
              <w:t>For a set of cells which is co-scheduled by a DCI format 1_X, the PDSCH with the small</w:t>
            </w:r>
            <w:r>
              <w:t>est serving cell index among the set of co-scheduled cells is used to determine last DCI format for PUCCH determination among DCI formats within a same PDCCH MO.</w:t>
            </w:r>
          </w:p>
          <w:p w:rsidR="004B76EF" w:rsidRDefault="00774936">
            <w:pPr>
              <w:pStyle w:val="ListParagraph"/>
              <w:numPr>
                <w:ilvl w:val="0"/>
                <w:numId w:val="10"/>
              </w:numPr>
              <w:spacing w:before="120" w:after="120" w:line="276" w:lineRule="auto"/>
              <w:ind w:firstLineChars="0"/>
            </w:pPr>
            <w:r>
              <w:t>FFS: which PDSCH is used to determine the last DCI format in case when both DCI format 1_X and</w:t>
            </w:r>
            <w:r>
              <w:t xml:space="preserve"> other DCI format 1_0/1_1/2_1/1_X are received in a same PDCCH monitoring occasion on a same scheduling cell for scheduling PDSCHs on same scheduled cell</w:t>
            </w:r>
          </w:p>
        </w:tc>
      </w:tr>
    </w:tbl>
    <w:p w:rsidR="004B76EF" w:rsidRDefault="00774936">
      <w:pPr>
        <w:spacing w:before="120" w:after="120" w:line="276" w:lineRule="auto"/>
      </w:pPr>
      <w:r>
        <w:rPr>
          <w:rFonts w:hint="eastAsia"/>
        </w:rPr>
        <w:t>F</w:t>
      </w:r>
      <w:r>
        <w:t>or the first bullet to determine a reference cell for DAI counting, companies seem ok with it. Howev</w:t>
      </w:r>
      <w:r>
        <w:t>er, for the second bullet to determine the last DCI format for PUCCH determination, it was raised by company that there may be more than one DCI scheduling PDSCH with the same smallest serving cell index, so there may exits ambiguity for the last DCI forma</w:t>
      </w:r>
      <w:r>
        <w:t xml:space="preserve">t determination. To our understanding, this is not a new issue brought by multi-cell scheduling and it also exists in MR-DC before R18. We suppose this can rely on </w:t>
      </w:r>
      <w:proofErr w:type="spellStart"/>
      <w:r>
        <w:t>gNB</w:t>
      </w:r>
      <w:proofErr w:type="spellEnd"/>
      <w:r>
        <w:t xml:space="preserve"> scheduling, e.g. to indicate same PRI when PDCCHs in the same MO scheduled PDSCHs with t</w:t>
      </w:r>
      <w:r>
        <w:t>he same smallest serving cell. Or we can define additional rule on top of smallest serving cell index to identify a unique last DCI format, e.g. using the starting symbol of PDSCH, which is same as the rule for DAI counting.</w:t>
      </w:r>
    </w:p>
    <w:p w:rsidR="004B76EF" w:rsidRDefault="00774936">
      <w:pPr>
        <w:spacing w:after="120" w:line="276" w:lineRule="auto"/>
        <w:rPr>
          <w:b/>
          <w:i/>
        </w:rPr>
      </w:pPr>
      <w:r>
        <w:rPr>
          <w:rFonts w:hint="eastAsia"/>
          <w:b/>
          <w:i/>
        </w:rPr>
        <w:t>P</w:t>
      </w:r>
      <w:r>
        <w:rPr>
          <w:b/>
          <w:i/>
        </w:rPr>
        <w:t>roposal 10: For Type-2 HARQ-AC</w:t>
      </w:r>
      <w:r>
        <w:rPr>
          <w:b/>
          <w:i/>
        </w:rPr>
        <w:t xml:space="preserve">K codebook, for a set of cells which is co-scheduled by a DCI format 1_X, the reference PDSCH to determine DAI counting is the PDSCH with smallest serving cell index among the </w:t>
      </w:r>
      <w:r>
        <w:rPr>
          <w:b/>
          <w:i/>
        </w:rPr>
        <w:lastRenderedPageBreak/>
        <w:t>set of co-scheduled cells.</w:t>
      </w:r>
    </w:p>
    <w:p w:rsidR="004B76EF" w:rsidRDefault="00774936">
      <w:pPr>
        <w:spacing w:after="120" w:line="276" w:lineRule="auto"/>
        <w:rPr>
          <w:b/>
          <w:i/>
        </w:rPr>
      </w:pPr>
      <w:r>
        <w:rPr>
          <w:rFonts w:hint="eastAsia"/>
          <w:b/>
          <w:i/>
        </w:rPr>
        <w:t>P</w:t>
      </w:r>
      <w:r>
        <w:rPr>
          <w:b/>
          <w:i/>
        </w:rPr>
        <w:t>roposal 11: For a set of cells which is co-scheduled</w:t>
      </w:r>
      <w:r>
        <w:rPr>
          <w:b/>
          <w:i/>
        </w:rPr>
        <w:t xml:space="preserve"> by a DCI format 1_X, the PDSCH with the smallest serving cell index among the set of co-scheduled cells is used to determine last DCI format for PUCCH determination among DCI formats within a same PDCCH MO. If there are more than one DCIs scheduling PDSCH</w:t>
      </w:r>
      <w:r>
        <w:rPr>
          <w:b/>
          <w:i/>
        </w:rPr>
        <w:t>s with the same smallest serving cell index, the following alternatives can be further studied:</w:t>
      </w:r>
    </w:p>
    <w:p w:rsidR="004B76EF" w:rsidRDefault="00774936">
      <w:pPr>
        <w:pStyle w:val="ListParagraph"/>
        <w:numPr>
          <w:ilvl w:val="0"/>
          <w:numId w:val="11"/>
        </w:numPr>
        <w:spacing w:after="120" w:line="276" w:lineRule="auto"/>
        <w:ind w:firstLineChars="0"/>
        <w:rPr>
          <w:b/>
          <w:i/>
        </w:rPr>
      </w:pPr>
      <w:r>
        <w:rPr>
          <w:rFonts w:hint="eastAsia"/>
          <w:b/>
          <w:i/>
        </w:rPr>
        <w:t>A</w:t>
      </w:r>
      <w:r>
        <w:rPr>
          <w:b/>
          <w:i/>
        </w:rPr>
        <w:t xml:space="preserve">lt 1: rely on </w:t>
      </w:r>
      <w:proofErr w:type="spellStart"/>
      <w:r>
        <w:rPr>
          <w:b/>
          <w:i/>
        </w:rPr>
        <w:t>gNB</w:t>
      </w:r>
      <w:proofErr w:type="spellEnd"/>
      <w:r>
        <w:rPr>
          <w:b/>
          <w:i/>
        </w:rPr>
        <w:t xml:space="preserve"> scheduling, e.g. to indicate same PRI when PDCCHs in the same MO scheduled PDSCHs with the same smallest serving cell.</w:t>
      </w:r>
    </w:p>
    <w:p w:rsidR="004B76EF" w:rsidRDefault="00774936">
      <w:pPr>
        <w:pStyle w:val="ListParagraph"/>
        <w:numPr>
          <w:ilvl w:val="0"/>
          <w:numId w:val="11"/>
        </w:numPr>
        <w:spacing w:after="120" w:line="276" w:lineRule="auto"/>
        <w:ind w:firstLineChars="0"/>
        <w:rPr>
          <w:b/>
          <w:i/>
        </w:rPr>
      </w:pPr>
      <w:r>
        <w:rPr>
          <w:rFonts w:hint="eastAsia"/>
          <w:b/>
          <w:i/>
        </w:rPr>
        <w:t>A</w:t>
      </w:r>
      <w:r>
        <w:rPr>
          <w:b/>
          <w:i/>
        </w:rPr>
        <w:t>lt 2: define addition</w:t>
      </w:r>
      <w:r>
        <w:rPr>
          <w:b/>
          <w:i/>
        </w:rPr>
        <w:t>al rule on top of smallest serving cell index to identify a unique last DCI format, e.g. using the starting symbol of PDSCH, which is same as the rule for DAI counting.</w:t>
      </w:r>
    </w:p>
    <w:p w:rsidR="004B76EF" w:rsidRDefault="00774936">
      <w:pPr>
        <w:pStyle w:val="Heading3"/>
      </w:pPr>
      <w:r>
        <w:rPr>
          <w:rFonts w:hint="eastAsia"/>
        </w:rPr>
        <w:t>T</w:t>
      </w:r>
      <w:r>
        <w:t>ype-1 HARQ-ACK codebook</w:t>
      </w:r>
    </w:p>
    <w:p w:rsidR="004B76EF" w:rsidRDefault="00774936">
      <w:pPr>
        <w:spacing w:after="120" w:line="276" w:lineRule="auto"/>
      </w:pPr>
      <w:r>
        <w:rPr>
          <w:rFonts w:hint="eastAsia"/>
        </w:rPr>
        <w:t>I</w:t>
      </w:r>
      <w:r>
        <w:t xml:space="preserve">n RAN#97e, it was concluded that Type-1 HARQ-ACK codebook is </w:t>
      </w:r>
      <w:r>
        <w:t xml:space="preserve">supported only for the case where co-scheduled cells by a DCI format 1_X have same SCS/carrier type/duplex mode in Rel-18, which will make the design for Type-1 HARQ-ACK codebook for multi-cell scheduling much easier. </w:t>
      </w:r>
    </w:p>
    <w:p w:rsidR="004B76EF" w:rsidRDefault="00774936">
      <w:pPr>
        <w:spacing w:after="120" w:line="276" w:lineRule="auto"/>
      </w:pPr>
      <w:r>
        <w:t>In Rel-15, Type-1 HARQ-ACK codebook i</w:t>
      </w:r>
      <w:r>
        <w:t xml:space="preserve">s determined by candidate PDSCH slots (based on K1 set) and possible PDSCH locations in the slots (based on configured TDRA tables for each cell). When multi-cell scheduling is supported, the use of reference PDSCH to determine HARQ-ACK timing may lead to </w:t>
      </w:r>
      <w:r>
        <w:t>HARQ-ACK bit positions not reserved for PDSCH(s) other than the reference PDSCH. In order to solve this issue, one alternative is to introduce some scheduling/configuration restrictions, e.g. the candidate PDSCH slots are still determined by the configured</w:t>
      </w:r>
      <w:r>
        <w:t xml:space="preserve"> K1 set while restrict that the slot offset between the co-scheduled PDSCH and the HARQ-ACK is always within the configured K1 set. Alternatively, the K1 set can be extended following the similar principle of multi-PDSCH scheduling in Rel-17, e.g. the K1 s</w:t>
      </w:r>
      <w:r>
        <w:t>et is extended per-cell</w:t>
      </w:r>
      <w:r>
        <w:rPr>
          <w:rFonts w:hint="eastAsia"/>
        </w:rPr>
        <w:t xml:space="preserve"> </w:t>
      </w:r>
      <w:r>
        <w:t>based on the slot offset between the reference PDSCH and the co-scheduled PDSCH of the target cell and the candidate PDSCH slots are determined by the per-cell extended K1 set.</w:t>
      </w:r>
    </w:p>
    <w:p w:rsidR="004B76EF" w:rsidRDefault="00774936">
      <w:pPr>
        <w:spacing w:after="120" w:line="276" w:lineRule="auto"/>
      </w:pPr>
      <w:r>
        <w:rPr>
          <w:rFonts w:hint="eastAsia"/>
        </w:rPr>
        <w:t>F</w:t>
      </w:r>
      <w:r>
        <w:t>or the determination of possible PDSCH locations withi</w:t>
      </w:r>
      <w:r>
        <w:t>n a slot, as analyzed above, it depends on the configured TDRA table. For the TDRA field and TDRA table design for multi-cell scheduling, the following agreement was reached in last RAN1 meeting:</w:t>
      </w:r>
    </w:p>
    <w:tbl>
      <w:tblPr>
        <w:tblStyle w:val="TableGrid"/>
        <w:tblW w:w="0" w:type="auto"/>
        <w:tblLook w:val="04A0"/>
      </w:tblPr>
      <w:tblGrid>
        <w:gridCol w:w="9286"/>
      </w:tblGrid>
      <w:tr w:rsidR="004B76EF">
        <w:tc>
          <w:tcPr>
            <w:tcW w:w="9286" w:type="dxa"/>
          </w:tcPr>
          <w:p w:rsidR="004B76EF" w:rsidRDefault="00774936">
            <w:pPr>
              <w:keepNext/>
              <w:ind w:left="720" w:hanging="720"/>
              <w:rPr>
                <w:rFonts w:eastAsia="Malgun Gothic" w:cs="Times"/>
                <w:b/>
                <w:bCs/>
                <w:szCs w:val="20"/>
                <w:highlight w:val="green"/>
                <w:lang w:eastAsia="ko-KR"/>
              </w:rPr>
            </w:pPr>
            <w:r>
              <w:rPr>
                <w:rFonts w:cs="Times"/>
                <w:b/>
                <w:bCs/>
                <w:szCs w:val="20"/>
                <w:highlight w:val="green"/>
              </w:rPr>
              <w:t>Agreement</w:t>
            </w:r>
          </w:p>
          <w:p w:rsidR="004B76EF" w:rsidRDefault="00774936">
            <w:pPr>
              <w:overflowPunct w:val="0"/>
              <w:autoSpaceDE w:val="0"/>
              <w:autoSpaceDN w:val="0"/>
              <w:snapToGrid w:val="0"/>
              <w:textAlignment w:val="baseline"/>
              <w:rPr>
                <w:rFonts w:cs="Times"/>
                <w:snapToGrid w:val="0"/>
                <w:szCs w:val="20"/>
              </w:rPr>
            </w:pPr>
            <w:r>
              <w:rPr>
                <w:rFonts w:cs="Times"/>
                <w:snapToGrid w:val="0"/>
                <w:szCs w:val="20"/>
              </w:rPr>
              <w:t>For a set of cells co-scheduled by a DCI format 0_</w:t>
            </w:r>
            <w:r>
              <w:rPr>
                <w:rFonts w:cs="Times"/>
                <w:snapToGrid w:val="0"/>
                <w:szCs w:val="20"/>
              </w:rPr>
              <w:t xml:space="preserve">X/1_X, time domain resource allocations for the set of cells are </w:t>
            </w:r>
            <w:r>
              <w:rPr>
                <w:rFonts w:cs="Times"/>
                <w:strike/>
                <w:snapToGrid w:val="0"/>
                <w:color w:val="FF0000"/>
                <w:szCs w:val="20"/>
              </w:rPr>
              <w:t>jointly</w:t>
            </w:r>
            <w:r>
              <w:rPr>
                <w:rFonts w:cs="Times"/>
                <w:snapToGrid w:val="0"/>
                <w:color w:val="FF0000"/>
                <w:szCs w:val="20"/>
              </w:rPr>
              <w:t xml:space="preserve"> </w:t>
            </w:r>
            <w:r>
              <w:rPr>
                <w:rFonts w:cs="Times"/>
                <w:snapToGrid w:val="0"/>
                <w:szCs w:val="20"/>
              </w:rPr>
              <w:t xml:space="preserve">indicated by a single TDRA field in the DCI format 0_X/1_X. </w:t>
            </w:r>
          </w:p>
          <w:p w:rsidR="004B76EF" w:rsidRDefault="00774936">
            <w:pPr>
              <w:widowControl/>
              <w:numPr>
                <w:ilvl w:val="0"/>
                <w:numId w:val="12"/>
              </w:numPr>
              <w:overflowPunct w:val="0"/>
              <w:autoSpaceDE w:val="0"/>
              <w:autoSpaceDN w:val="0"/>
              <w:snapToGrid w:val="0"/>
              <w:textAlignment w:val="baseline"/>
              <w:rPr>
                <w:rFonts w:cs="Times"/>
                <w:snapToGrid w:val="0"/>
                <w:szCs w:val="20"/>
              </w:rPr>
            </w:pPr>
            <w:r>
              <w:rPr>
                <w:rFonts w:cs="Times"/>
                <w:snapToGrid w:val="0"/>
                <w:szCs w:val="20"/>
              </w:rPr>
              <w:t>Separate {SLIV, mapping type, scheduling offset K0 (or K2)} is indicated for each of co-scheduled PDSCHs/PUSCHs.</w:t>
            </w:r>
          </w:p>
          <w:p w:rsidR="004B76EF" w:rsidRDefault="00774936">
            <w:pPr>
              <w:widowControl/>
              <w:numPr>
                <w:ilvl w:val="0"/>
                <w:numId w:val="12"/>
              </w:numPr>
              <w:overflowPunct w:val="0"/>
              <w:autoSpaceDE w:val="0"/>
              <w:autoSpaceDN w:val="0"/>
              <w:snapToGrid w:val="0"/>
              <w:textAlignment w:val="baseline"/>
              <w:rPr>
                <w:rFonts w:cs="Times"/>
                <w:snapToGrid w:val="0"/>
                <w:szCs w:val="20"/>
              </w:rPr>
            </w:pPr>
            <w:r>
              <w:rPr>
                <w:rFonts w:cs="Times"/>
                <w:snapToGrid w:val="0"/>
                <w:szCs w:val="20"/>
              </w:rPr>
              <w:t xml:space="preserve">FFS </w:t>
            </w:r>
            <w:r>
              <w:rPr>
                <w:rFonts w:cs="Times"/>
                <w:snapToGrid w:val="0"/>
                <w:szCs w:val="20"/>
              </w:rPr>
              <w:t>details of the TDRA table design</w:t>
            </w:r>
          </w:p>
        </w:tc>
      </w:tr>
    </w:tbl>
    <w:p w:rsidR="004B76EF" w:rsidRDefault="00774936">
      <w:pPr>
        <w:spacing w:after="120" w:line="276" w:lineRule="auto"/>
        <w:rPr>
          <w:rFonts w:cs="Times"/>
          <w:snapToGrid w:val="0"/>
          <w:szCs w:val="20"/>
        </w:rPr>
      </w:pPr>
      <w:r>
        <w:t xml:space="preserve">The agreement only says that there is a single TDRA field in DCI format 0_X/1_X and the single field indicates separate TDRA information, i.e. </w:t>
      </w:r>
      <w:r>
        <w:rPr>
          <w:rFonts w:cs="Times"/>
          <w:snapToGrid w:val="0"/>
          <w:szCs w:val="20"/>
        </w:rPr>
        <w:t>{SLIV, mapping type, scheduling offset K0 (or K2)} for each of co-scheduled PDS</w:t>
      </w:r>
      <w:r>
        <w:rPr>
          <w:rFonts w:cs="Times"/>
          <w:snapToGrid w:val="0"/>
          <w:szCs w:val="20"/>
        </w:rPr>
        <w:t>CHs/PUSCHs. However, the details of the TDRA table design needs to be FFS. To our understanding, this agreement still leaves the two options open:</w:t>
      </w:r>
    </w:p>
    <w:p w:rsidR="004B76EF" w:rsidRDefault="00774936">
      <w:pPr>
        <w:pStyle w:val="ListParagraph"/>
        <w:numPr>
          <w:ilvl w:val="0"/>
          <w:numId w:val="13"/>
        </w:numPr>
        <w:spacing w:after="120" w:line="276" w:lineRule="auto"/>
        <w:ind w:firstLineChars="0"/>
      </w:pPr>
      <w:r>
        <w:t xml:space="preserve">Option 1: Reuse the per-cell TDRA table in legacy RRC configuration and the single TDRA field in DCI </w:t>
      </w:r>
      <w:r>
        <w:lastRenderedPageBreak/>
        <w:t>format 0</w:t>
      </w:r>
      <w:r>
        <w:t>_X/1_X points to the same row of the legacy per-cell TDRA table;</w:t>
      </w:r>
    </w:p>
    <w:p w:rsidR="004B76EF" w:rsidRDefault="00774936">
      <w:pPr>
        <w:pStyle w:val="ListParagraph"/>
        <w:numPr>
          <w:ilvl w:val="0"/>
          <w:numId w:val="13"/>
        </w:numPr>
        <w:spacing w:after="120" w:line="276" w:lineRule="auto"/>
        <w:ind w:firstLineChars="0"/>
      </w:pPr>
      <w:r>
        <w:t xml:space="preserve">Option 2: Define at least one new TDRA table, and one row of the new TDRA table contains the TDRA information, i.e. </w:t>
      </w:r>
      <w:r>
        <w:rPr>
          <w:rFonts w:cs="Times"/>
          <w:snapToGrid w:val="0"/>
          <w:szCs w:val="20"/>
        </w:rPr>
        <w:t>{SLIV, mapping type, scheduling offset K0 (or K2)} for each co-scheduled ce</w:t>
      </w:r>
      <w:r>
        <w:rPr>
          <w:rFonts w:cs="Times"/>
          <w:snapToGrid w:val="0"/>
          <w:szCs w:val="20"/>
        </w:rPr>
        <w:t>ll.</w:t>
      </w:r>
    </w:p>
    <w:p w:rsidR="004B76EF" w:rsidRDefault="00774936">
      <w:pPr>
        <w:spacing w:after="120" w:line="276" w:lineRule="auto"/>
      </w:pPr>
      <w:r>
        <w:rPr>
          <w:rFonts w:hint="eastAsia"/>
        </w:rPr>
        <w:t>I</w:t>
      </w:r>
      <w:r>
        <w:t>f we go with option 1, we suppose that no enhancement is needed for SLIV pruning to determine the possible PDSCH locations. If option 2 is adopted, the SLIV set for one cell needs to include all the SLIVs corresponding to that cell in the newly define</w:t>
      </w:r>
      <w:r>
        <w:t xml:space="preserve">d TDRA tables(s). </w:t>
      </w:r>
    </w:p>
    <w:p w:rsidR="004B76EF" w:rsidRDefault="00774936">
      <w:pPr>
        <w:spacing w:after="120" w:line="276" w:lineRule="auto"/>
        <w:rPr>
          <w:b/>
          <w:i/>
        </w:rPr>
      </w:pPr>
      <w:r>
        <w:rPr>
          <w:rFonts w:hint="eastAsia"/>
          <w:b/>
          <w:i/>
        </w:rPr>
        <w:t>P</w:t>
      </w:r>
      <w:r>
        <w:rPr>
          <w:b/>
          <w:i/>
        </w:rPr>
        <w:t>roposal 12: For Type-1 HARQ-ACK codebook construction, the following alternatives can be considered:</w:t>
      </w:r>
    </w:p>
    <w:p w:rsidR="004B76EF" w:rsidRDefault="00774936">
      <w:pPr>
        <w:pStyle w:val="ListParagraph"/>
        <w:numPr>
          <w:ilvl w:val="0"/>
          <w:numId w:val="14"/>
        </w:numPr>
        <w:spacing w:after="120" w:line="276" w:lineRule="auto"/>
        <w:ind w:firstLineChars="0"/>
        <w:rPr>
          <w:b/>
          <w:i/>
        </w:rPr>
      </w:pPr>
      <w:r>
        <w:rPr>
          <w:b/>
          <w:i/>
        </w:rPr>
        <w:t xml:space="preserve">Alt 1: the candidate PDSCH slots are still determined by the configured K1 set while restrict that the slot offset(s) between the </w:t>
      </w:r>
      <w:r>
        <w:rPr>
          <w:b/>
          <w:i/>
        </w:rPr>
        <w:t>co-scheduled PDSCH(s) and the HARQ-ACK is always within the configured K1 set.</w:t>
      </w:r>
    </w:p>
    <w:p w:rsidR="004B76EF" w:rsidRDefault="00774936">
      <w:pPr>
        <w:pStyle w:val="ListParagraph"/>
        <w:numPr>
          <w:ilvl w:val="0"/>
          <w:numId w:val="14"/>
        </w:numPr>
        <w:spacing w:after="120" w:line="276" w:lineRule="auto"/>
        <w:ind w:firstLineChars="0"/>
        <w:rPr>
          <w:b/>
          <w:i/>
        </w:rPr>
      </w:pPr>
      <w:r>
        <w:rPr>
          <w:b/>
          <w:i/>
        </w:rPr>
        <w:t>Alt 2: the K1 set is extended per-cell based on the slot offset between the reference PDSCH and the co-scheduled PDSCH of the target cell and the candidate PDSCH slots are deter</w:t>
      </w:r>
      <w:r>
        <w:rPr>
          <w:b/>
          <w:i/>
        </w:rPr>
        <w:t>mined by the per-cell extended K1 set.</w:t>
      </w:r>
    </w:p>
    <w:p w:rsidR="004B76EF" w:rsidRDefault="00774936">
      <w:pPr>
        <w:spacing w:after="120" w:line="276" w:lineRule="auto"/>
        <w:rPr>
          <w:b/>
          <w:i/>
        </w:rPr>
      </w:pPr>
      <w:r>
        <w:rPr>
          <w:rFonts w:hint="eastAsia"/>
          <w:b/>
          <w:i/>
        </w:rPr>
        <w:t>P</w:t>
      </w:r>
      <w:r>
        <w:rPr>
          <w:b/>
          <w:i/>
        </w:rPr>
        <w:t>roposal 13: For determination of possible PDSCH locations within a slot:</w:t>
      </w:r>
    </w:p>
    <w:p w:rsidR="004B76EF" w:rsidRDefault="00774936">
      <w:pPr>
        <w:pStyle w:val="ListParagraph"/>
        <w:numPr>
          <w:ilvl w:val="0"/>
          <w:numId w:val="14"/>
        </w:numPr>
        <w:spacing w:after="120" w:line="276" w:lineRule="auto"/>
        <w:ind w:firstLineChars="0"/>
        <w:rPr>
          <w:b/>
          <w:i/>
        </w:rPr>
      </w:pPr>
      <w:r>
        <w:rPr>
          <w:b/>
          <w:i/>
        </w:rPr>
        <w:t xml:space="preserve">If new TDRA </w:t>
      </w:r>
      <w:proofErr w:type="gramStart"/>
      <w:r>
        <w:rPr>
          <w:b/>
          <w:i/>
        </w:rPr>
        <w:t>table(s) are</w:t>
      </w:r>
      <w:proofErr w:type="gramEnd"/>
      <w:r>
        <w:rPr>
          <w:b/>
          <w:i/>
        </w:rPr>
        <w:t xml:space="preserve"> defined, then modification is needed for SLIV pruning, e.g. the SLIV set for one cell needs to include all the SLIVs c</w:t>
      </w:r>
      <w:r>
        <w:rPr>
          <w:b/>
          <w:i/>
        </w:rPr>
        <w:t>orresponding to that cell in the newly defined TDRA tables(s).</w:t>
      </w:r>
    </w:p>
    <w:p w:rsidR="004B76EF" w:rsidRDefault="00774936">
      <w:pPr>
        <w:pStyle w:val="ListParagraph"/>
        <w:numPr>
          <w:ilvl w:val="0"/>
          <w:numId w:val="14"/>
        </w:numPr>
        <w:spacing w:after="120" w:line="276" w:lineRule="auto"/>
        <w:ind w:firstLineChars="0"/>
        <w:rPr>
          <w:b/>
          <w:i/>
        </w:rPr>
      </w:pPr>
      <w:r>
        <w:rPr>
          <w:b/>
          <w:i/>
        </w:rPr>
        <w:t xml:space="preserve">If legacy TDRA </w:t>
      </w:r>
      <w:proofErr w:type="gramStart"/>
      <w:r>
        <w:rPr>
          <w:b/>
          <w:i/>
        </w:rPr>
        <w:t>table(s) are</w:t>
      </w:r>
      <w:proofErr w:type="gramEnd"/>
      <w:r>
        <w:rPr>
          <w:b/>
          <w:i/>
        </w:rPr>
        <w:t xml:space="preserve"> reused, then no modification is needed for SLIV pruning.</w:t>
      </w:r>
    </w:p>
    <w:p w:rsidR="004B76EF" w:rsidRDefault="00774936">
      <w:pPr>
        <w:pStyle w:val="Heading3"/>
      </w:pPr>
      <w:r>
        <w:rPr>
          <w:rFonts w:hint="eastAsia"/>
        </w:rPr>
        <w:t>T</w:t>
      </w:r>
      <w:r>
        <w:t>ype-3/eType-3 HARQ-ACK codebook</w:t>
      </w:r>
    </w:p>
    <w:p w:rsidR="004B76EF" w:rsidRDefault="00774936">
      <w:pPr>
        <w:spacing w:after="120" w:line="276" w:lineRule="auto"/>
      </w:pPr>
      <w:r>
        <w:t>In RAN1#110e, it was agreed that a single</w:t>
      </w:r>
      <w:r>
        <w:rPr>
          <w:rFonts w:eastAsia="Times New Roman"/>
          <w:szCs w:val="20"/>
        </w:rPr>
        <w:t xml:space="preserve"> One-shot HARQ-ACK request field i</w:t>
      </w:r>
      <w:r>
        <w:rPr>
          <w:rFonts w:eastAsia="Times New Roman"/>
          <w:szCs w:val="20"/>
        </w:rPr>
        <w:t xml:space="preserve">s included </w:t>
      </w:r>
      <w:r>
        <w:rPr>
          <w:szCs w:val="20"/>
        </w:rPr>
        <w:t>in DCI format 1_X. It means at least one of Type-3 HARQ-ACK codebook, eType-3 HARQ-ACK codebook and HARQ-ACK retransmission should be supported</w:t>
      </w:r>
      <w:r>
        <w:t xml:space="preserve"> for multi-cell scheduling. Considering a DCI format used to trigger HARQ-ACK retransmission cannot be</w:t>
      </w:r>
      <w:r>
        <w:t xml:space="preserve"> used to schedule PDSCH transmission, we do not prefer to use DCI format 1_X to trigger HARQ-ACK retransmission because of the larger payload of DCI format 1_X.</w:t>
      </w:r>
    </w:p>
    <w:p w:rsidR="004B76EF" w:rsidRDefault="00774936">
      <w:pPr>
        <w:spacing w:after="120" w:line="276" w:lineRule="auto"/>
      </w:pPr>
      <w:r>
        <w:rPr>
          <w:rFonts w:hint="eastAsia"/>
          <w:b/>
          <w:i/>
        </w:rPr>
        <w:t>P</w:t>
      </w:r>
      <w:r>
        <w:rPr>
          <w:b/>
          <w:i/>
        </w:rPr>
        <w:t>roposal 14: DCI format 1_X should not be used to trigger HARQ-ACK retransmission.</w:t>
      </w:r>
    </w:p>
    <w:p w:rsidR="004B76EF" w:rsidRDefault="00774936">
      <w:pPr>
        <w:spacing w:after="120" w:line="276" w:lineRule="auto"/>
        <w:rPr>
          <w:szCs w:val="20"/>
        </w:rPr>
      </w:pPr>
      <w:r>
        <w:t>To support T</w:t>
      </w:r>
      <w:r>
        <w:t>ype-3</w:t>
      </w:r>
      <w:r>
        <w:rPr>
          <w:szCs w:val="20"/>
        </w:rPr>
        <w:t xml:space="preserve"> HARQ-ACK codebook, the current mechanism can be almost straightly reused. Specifically, when </w:t>
      </w:r>
      <w:r>
        <w:t>One-shot HARQ-ACK request field in DCI format 1_X is set to “1”, a Type-3</w:t>
      </w:r>
      <w:r>
        <w:rPr>
          <w:szCs w:val="20"/>
        </w:rPr>
        <w:t xml:space="preserve"> HARQ-ACK codebook is triggered. Furthermore, if no FDRA field is</w:t>
      </w:r>
      <w:r>
        <w:t xml:space="preserve"> </w:t>
      </w:r>
      <w:r>
        <w:rPr>
          <w:szCs w:val="20"/>
        </w:rPr>
        <w:t xml:space="preserve">valid in the same </w:t>
      </w:r>
      <w:r>
        <w:rPr>
          <w:szCs w:val="20"/>
        </w:rPr>
        <w:t>DCI, no PDSCH is scheduled by the triggering DCI.</w:t>
      </w:r>
    </w:p>
    <w:p w:rsidR="004B76EF" w:rsidRDefault="00774936">
      <w:pPr>
        <w:spacing w:after="120" w:line="276" w:lineRule="auto"/>
        <w:rPr>
          <w:b/>
          <w:i/>
        </w:rPr>
      </w:pPr>
      <w:r>
        <w:rPr>
          <w:rFonts w:hint="eastAsia"/>
          <w:b/>
          <w:i/>
        </w:rPr>
        <w:t>P</w:t>
      </w:r>
      <w:r>
        <w:rPr>
          <w:b/>
          <w:i/>
        </w:rPr>
        <w:t xml:space="preserve">roposal 15: To trigger a Type-3 HARQ-ACK codebook, One-shot HARQ-ACK request field in DCI format 1_X is set to “1”. </w:t>
      </w:r>
    </w:p>
    <w:p w:rsidR="004B76EF" w:rsidRDefault="00774936">
      <w:pPr>
        <w:pStyle w:val="ListParagraph"/>
        <w:numPr>
          <w:ilvl w:val="0"/>
          <w:numId w:val="14"/>
        </w:numPr>
        <w:spacing w:after="120" w:line="276" w:lineRule="auto"/>
        <w:ind w:firstLineChars="0"/>
      </w:pPr>
      <w:r>
        <w:rPr>
          <w:b/>
          <w:i/>
        </w:rPr>
        <w:t>Furthermore, if no FDRA field is valid in the same DCI, no PDSCH is scheduled.</w:t>
      </w:r>
    </w:p>
    <w:p w:rsidR="004B76EF" w:rsidRDefault="00774936">
      <w:pPr>
        <w:spacing w:after="120" w:line="276" w:lineRule="auto"/>
        <w:rPr>
          <w:szCs w:val="20"/>
        </w:rPr>
      </w:pPr>
      <w:r>
        <w:t xml:space="preserve">In R17 </w:t>
      </w:r>
      <w:r>
        <w:t>two kinds of triggering DCI for eType-3</w:t>
      </w:r>
      <w:r>
        <w:rPr>
          <w:szCs w:val="20"/>
        </w:rPr>
        <w:t xml:space="preserve"> HARQ-ACK codebook are supported, when </w:t>
      </w:r>
      <w:r>
        <w:t>One-shot HARQ-ACK request field is set to “1”</w:t>
      </w:r>
      <w:r>
        <w:rPr>
          <w:szCs w:val="20"/>
        </w:rPr>
        <w:t>, i.e.:</w:t>
      </w:r>
    </w:p>
    <w:p w:rsidR="004B76EF" w:rsidRDefault="00774936">
      <w:pPr>
        <w:pStyle w:val="ListParagraph"/>
        <w:numPr>
          <w:ilvl w:val="0"/>
          <w:numId w:val="15"/>
        </w:numPr>
        <w:spacing w:after="120"/>
        <w:ind w:firstLineChars="0"/>
      </w:pPr>
      <w:r>
        <w:lastRenderedPageBreak/>
        <w:t xml:space="preserve">Explicit indication: Enhanced Type 3 codebook indicator field is </w:t>
      </w:r>
      <w:r>
        <w:rPr>
          <w:lang w:val="en-GB"/>
        </w:rPr>
        <w:t xml:space="preserve">configured to indicate a set index of </w:t>
      </w:r>
      <w:r>
        <w:t>configured CCs/HARQ pr</w:t>
      </w:r>
      <w:r>
        <w:t>ocesses;</w:t>
      </w:r>
    </w:p>
    <w:p w:rsidR="004B76EF" w:rsidRDefault="00774936">
      <w:pPr>
        <w:pStyle w:val="ListParagraph"/>
        <w:numPr>
          <w:ilvl w:val="0"/>
          <w:numId w:val="15"/>
        </w:numPr>
        <w:spacing w:after="120"/>
        <w:ind w:firstLineChars="0"/>
      </w:pPr>
      <w:r>
        <w:t xml:space="preserve">Implicit indication: Without Enhanced Type 3 codebook indicator field, </w:t>
      </w:r>
    </w:p>
    <w:p w:rsidR="004B76EF" w:rsidRDefault="00774936">
      <w:pPr>
        <w:pStyle w:val="ListParagraph"/>
        <w:numPr>
          <w:ilvl w:val="1"/>
          <w:numId w:val="15"/>
        </w:numPr>
        <w:spacing w:after="120"/>
        <w:ind w:firstLineChars="0"/>
      </w:pPr>
      <w:r>
        <w:t xml:space="preserve">If FDRA field is not valid, MCS field is </w:t>
      </w:r>
      <w:r>
        <w:rPr>
          <w:lang w:val="en-GB"/>
        </w:rPr>
        <w:t xml:space="preserve">configured to indicate a set index of </w:t>
      </w:r>
      <w:r>
        <w:t>configured CCs/HARQ processes;</w:t>
      </w:r>
    </w:p>
    <w:p w:rsidR="004B76EF" w:rsidRDefault="00774936">
      <w:pPr>
        <w:pStyle w:val="ListParagraph"/>
        <w:numPr>
          <w:ilvl w:val="1"/>
          <w:numId w:val="15"/>
        </w:numPr>
        <w:spacing w:after="120"/>
        <w:ind w:firstLineChars="0"/>
      </w:pPr>
      <w:r>
        <w:t xml:space="preserve">If FDRA field is valid, the first </w:t>
      </w:r>
      <w:r>
        <w:rPr>
          <w:lang w:val="en-GB"/>
        </w:rPr>
        <w:t xml:space="preserve">set of </w:t>
      </w:r>
      <w:r>
        <w:t>configured CCs/HARQ proc</w:t>
      </w:r>
      <w:r>
        <w:t>esses is triggered.</w:t>
      </w:r>
    </w:p>
    <w:p w:rsidR="004B76EF" w:rsidRDefault="00774936">
      <w:pPr>
        <w:spacing w:after="120" w:line="276" w:lineRule="auto"/>
      </w:pPr>
      <w:r>
        <w:t xml:space="preserve">From our point of view, both explicit and implicit indication of </w:t>
      </w:r>
      <w:r>
        <w:rPr>
          <w:lang w:val="en-GB"/>
        </w:rPr>
        <w:t xml:space="preserve">a set index of </w:t>
      </w:r>
      <w:r>
        <w:t>configured CCs/HARQ processes can be supported by DCI format 1_</w:t>
      </w:r>
      <w:r>
        <w:rPr>
          <w:rFonts w:hint="eastAsia"/>
        </w:rPr>
        <w:t>X</w:t>
      </w:r>
      <w:r>
        <w:t xml:space="preserve"> for eType-3</w:t>
      </w:r>
      <w:r>
        <w:rPr>
          <w:szCs w:val="20"/>
        </w:rPr>
        <w:t xml:space="preserve"> HARQ-ACK codebook triggering. Specifically, when </w:t>
      </w:r>
      <w:r>
        <w:t>One-shot HARQ-ACK request fiel</w:t>
      </w:r>
      <w:r>
        <w:t>d in DCI format 1_X is set to “1”,</w:t>
      </w:r>
    </w:p>
    <w:p w:rsidR="004B76EF" w:rsidRDefault="00774936">
      <w:pPr>
        <w:pStyle w:val="ListParagraph"/>
        <w:numPr>
          <w:ilvl w:val="0"/>
          <w:numId w:val="16"/>
        </w:numPr>
        <w:spacing w:after="120"/>
        <w:ind w:firstLineChars="0"/>
      </w:pPr>
      <w:r>
        <w:t>If Enhanced Type 3 codebook indicator field is configured as one Type-1A field, it indicates a set index of configured CCs/HARQ processes;</w:t>
      </w:r>
    </w:p>
    <w:p w:rsidR="004B76EF" w:rsidRDefault="00774936">
      <w:pPr>
        <w:pStyle w:val="ListParagraph"/>
        <w:numPr>
          <w:ilvl w:val="0"/>
          <w:numId w:val="16"/>
        </w:numPr>
        <w:spacing w:after="120"/>
        <w:ind w:firstLineChars="0"/>
      </w:pPr>
      <w:r>
        <w:t>If Enhanced Type 3 codebook indicator field is not configured,</w:t>
      </w:r>
    </w:p>
    <w:p w:rsidR="004B76EF" w:rsidRDefault="00774936">
      <w:pPr>
        <w:pStyle w:val="ListParagraph"/>
        <w:numPr>
          <w:ilvl w:val="1"/>
          <w:numId w:val="14"/>
        </w:numPr>
        <w:spacing w:after="120" w:line="276" w:lineRule="auto"/>
        <w:ind w:firstLineChars="0"/>
        <w:rPr>
          <w:bCs/>
          <w:iCs/>
        </w:rPr>
      </w:pPr>
      <w:r>
        <w:rPr>
          <w:bCs/>
          <w:iCs/>
        </w:rPr>
        <w:t xml:space="preserve">If every MCS field </w:t>
      </w:r>
      <w:r>
        <w:rPr>
          <w:bCs/>
          <w:iCs/>
        </w:rPr>
        <w:t>in DCI 1_X is used to carry valid MCS information for a TB, the first set of configured CCs/HARQ processes is triggered; otherwise, the first MCS field not carrying valid MCS information for a TB is used to indicate a set index of configured CCs/HARQ proce</w:t>
      </w:r>
      <w:r>
        <w:rPr>
          <w:bCs/>
          <w:iCs/>
        </w:rPr>
        <w:t>sses.</w:t>
      </w:r>
    </w:p>
    <w:p w:rsidR="004B76EF" w:rsidRDefault="00774936">
      <w:pPr>
        <w:spacing w:after="120" w:line="276" w:lineRule="auto"/>
        <w:rPr>
          <w:b/>
          <w:i/>
        </w:rPr>
      </w:pPr>
      <w:r>
        <w:rPr>
          <w:rFonts w:hint="eastAsia"/>
          <w:b/>
          <w:i/>
        </w:rPr>
        <w:t>P</w:t>
      </w:r>
      <w:r>
        <w:rPr>
          <w:b/>
          <w:i/>
        </w:rPr>
        <w:t>roposal 16: To trigger an eType-3 HARQ-ACK codebook, One-shot HARQ-ACK request field in DCI format 1_X is set to “1”,</w:t>
      </w:r>
    </w:p>
    <w:p w:rsidR="004B76EF" w:rsidRDefault="00774936">
      <w:pPr>
        <w:pStyle w:val="ListParagraph"/>
        <w:numPr>
          <w:ilvl w:val="0"/>
          <w:numId w:val="14"/>
        </w:numPr>
        <w:spacing w:after="120" w:line="276" w:lineRule="auto"/>
        <w:ind w:firstLineChars="0"/>
        <w:rPr>
          <w:b/>
          <w:i/>
        </w:rPr>
      </w:pPr>
      <w:r>
        <w:rPr>
          <w:b/>
          <w:i/>
        </w:rPr>
        <w:t>If Enhanced Type 3 codebook indicator field is configured as one Type-1A field, it indicates a set index of configured CCs/HARQ pro</w:t>
      </w:r>
      <w:r>
        <w:rPr>
          <w:b/>
          <w:i/>
        </w:rPr>
        <w:t>cesses;</w:t>
      </w:r>
    </w:p>
    <w:p w:rsidR="004B76EF" w:rsidRDefault="00774936">
      <w:pPr>
        <w:pStyle w:val="ListParagraph"/>
        <w:numPr>
          <w:ilvl w:val="0"/>
          <w:numId w:val="14"/>
        </w:numPr>
        <w:spacing w:after="120" w:line="276" w:lineRule="auto"/>
        <w:ind w:firstLineChars="0"/>
        <w:rPr>
          <w:b/>
          <w:i/>
        </w:rPr>
      </w:pPr>
      <w:r>
        <w:rPr>
          <w:b/>
          <w:i/>
        </w:rPr>
        <w:t>If Enhanced Type 3 codebook indicator field is not configured,</w:t>
      </w:r>
    </w:p>
    <w:p w:rsidR="004B76EF" w:rsidRDefault="00774936">
      <w:pPr>
        <w:pStyle w:val="ListParagraph"/>
        <w:numPr>
          <w:ilvl w:val="1"/>
          <w:numId w:val="14"/>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 not carrying v</w:t>
      </w:r>
      <w:r>
        <w:rPr>
          <w:b/>
          <w:i/>
        </w:rPr>
        <w:t>alid MCS information for a TB is used to indicate a set index of configured CCs/HARQ processes.</w:t>
      </w:r>
    </w:p>
    <w:p w:rsidR="004B76EF" w:rsidRDefault="00774936">
      <w:pPr>
        <w:pStyle w:val="Heading1"/>
        <w:spacing w:line="276" w:lineRule="auto"/>
      </w:pPr>
      <w:r>
        <w:t>Conclusions</w:t>
      </w:r>
    </w:p>
    <w:p w:rsidR="004B76EF" w:rsidRDefault="00774936">
      <w:pPr>
        <w:spacing w:line="276" w:lineRule="auto"/>
        <w:rPr>
          <w:b/>
          <w:i/>
        </w:rPr>
      </w:pPr>
      <w:r>
        <w:t>In this contribution, we show our views on multi-cell PUSCH/PDSCH scheduling with a single DCI and concludes with following proposals:</w:t>
      </w:r>
    </w:p>
    <w:p w:rsidR="004B76EF" w:rsidRDefault="00774936">
      <w:pPr>
        <w:spacing w:before="120" w:after="120" w:line="276" w:lineRule="auto"/>
        <w:rPr>
          <w:b/>
          <w:i/>
          <w:szCs w:val="20"/>
        </w:rPr>
      </w:pPr>
      <w:r>
        <w:rPr>
          <w:rFonts w:hint="eastAsia"/>
          <w:b/>
          <w:i/>
        </w:rPr>
        <w:t>P</w:t>
      </w:r>
      <w:r>
        <w:rPr>
          <w:b/>
          <w:i/>
        </w:rPr>
        <w:t xml:space="preserve">roposal 1: </w:t>
      </w:r>
      <w:r>
        <w:rPr>
          <w:b/>
          <w:i/>
        </w:rPr>
        <w:t>For the set of cells for multi-cell PDSCH/PUSCH scheduling,</w:t>
      </w:r>
    </w:p>
    <w:p w:rsidR="004B76EF" w:rsidRDefault="00774936">
      <w:pPr>
        <w:widowControl/>
        <w:numPr>
          <w:ilvl w:val="0"/>
          <w:numId w:val="7"/>
        </w:numPr>
        <w:tabs>
          <w:tab w:val="left" w:pos="840"/>
        </w:tabs>
        <w:spacing w:before="120" w:after="120" w:line="276" w:lineRule="auto"/>
        <w:jc w:val="left"/>
        <w:rPr>
          <w:b/>
          <w:i/>
          <w:szCs w:val="20"/>
        </w:rPr>
      </w:pPr>
      <w:r>
        <w:rPr>
          <w:rFonts w:hint="eastAsia"/>
          <w:b/>
          <w:i/>
          <w:szCs w:val="20"/>
        </w:rPr>
        <w:t>M</w:t>
      </w:r>
      <w:r>
        <w:rPr>
          <w:b/>
          <w:i/>
          <w:szCs w:val="20"/>
        </w:rPr>
        <w:t>ultiple cell sets are allowed.</w:t>
      </w:r>
    </w:p>
    <w:p w:rsidR="004B76EF" w:rsidRDefault="00774936">
      <w:pPr>
        <w:widowControl/>
        <w:numPr>
          <w:ilvl w:val="0"/>
          <w:numId w:val="7"/>
        </w:numPr>
        <w:tabs>
          <w:tab w:val="left" w:pos="420"/>
        </w:tabs>
        <w:spacing w:before="120" w:after="120" w:line="276" w:lineRule="auto"/>
        <w:jc w:val="left"/>
        <w:rPr>
          <w:b/>
          <w:i/>
        </w:rPr>
      </w:pPr>
      <w:r>
        <w:rPr>
          <w:rFonts w:eastAsia="Batang" w:cs="Times New Roman"/>
          <w:b/>
          <w:i/>
          <w:kern w:val="0"/>
          <w:szCs w:val="20"/>
        </w:rPr>
        <w:t xml:space="preserve">For multi-cell scheduling, the co-scheduled cells are indicated by an indicator in DCI format 0_X/1_X which points to one row of a table defining combinations of </w:t>
      </w:r>
      <w:r>
        <w:rPr>
          <w:rFonts w:eastAsia="Batang" w:cs="Times New Roman"/>
          <w:b/>
          <w:i/>
          <w:kern w:val="0"/>
          <w:szCs w:val="20"/>
        </w:rPr>
        <w:t>co-scheduled cells</w:t>
      </w:r>
      <w:r>
        <w:rPr>
          <w:rFonts w:cs="Times New Roman"/>
          <w:b/>
          <w:i/>
          <w:kern w:val="0"/>
          <w:szCs w:val="20"/>
        </w:rPr>
        <w:t>.</w:t>
      </w:r>
    </w:p>
    <w:p w:rsidR="004B76EF" w:rsidRDefault="00774936">
      <w:pPr>
        <w:widowControl/>
        <w:numPr>
          <w:ilvl w:val="1"/>
          <w:numId w:val="7"/>
        </w:numPr>
        <w:tabs>
          <w:tab w:val="left" w:pos="840"/>
        </w:tabs>
        <w:spacing w:before="120" w:after="120" w:line="276" w:lineRule="auto"/>
        <w:jc w:val="left"/>
        <w:rPr>
          <w:b/>
          <w:i/>
        </w:rPr>
      </w:pPr>
      <w:r>
        <w:rPr>
          <w:rFonts w:cs="Times New Roman"/>
          <w:b/>
          <w:i/>
          <w:szCs w:val="20"/>
        </w:rPr>
        <w:t>The table is configured by RRC signaling.</w:t>
      </w:r>
    </w:p>
    <w:p w:rsidR="004B76EF" w:rsidRDefault="00774936">
      <w:pPr>
        <w:widowControl/>
        <w:numPr>
          <w:ilvl w:val="1"/>
          <w:numId w:val="7"/>
        </w:numPr>
        <w:spacing w:before="120" w:after="120" w:line="276" w:lineRule="auto"/>
        <w:jc w:val="left"/>
        <w:rPr>
          <w:b/>
          <w:i/>
        </w:rPr>
      </w:pPr>
      <w:r>
        <w:rPr>
          <w:rFonts w:hint="eastAsia"/>
          <w:b/>
          <w:i/>
        </w:rPr>
        <w:t>T</w:t>
      </w:r>
      <w:r>
        <w:rPr>
          <w:b/>
          <w:i/>
        </w:rPr>
        <w:t>he table is configured per cell set</w:t>
      </w:r>
    </w:p>
    <w:p w:rsidR="004B76EF" w:rsidRDefault="00774936">
      <w:pPr>
        <w:spacing w:before="120" w:after="120" w:line="276" w:lineRule="auto"/>
        <w:rPr>
          <w:b/>
          <w:i/>
        </w:rPr>
      </w:pPr>
      <w:r>
        <w:rPr>
          <w:b/>
          <w:i/>
        </w:rPr>
        <w:t>Proposal 2: When multiple cell sets are configured, one or more of the following should be taken into account to identify the scheduled cell set:</w:t>
      </w:r>
    </w:p>
    <w:p w:rsidR="004B76EF" w:rsidRDefault="00774936">
      <w:pPr>
        <w:pStyle w:val="ListParagraph"/>
        <w:numPr>
          <w:ilvl w:val="0"/>
          <w:numId w:val="7"/>
        </w:numPr>
        <w:spacing w:before="120" w:after="120" w:line="276" w:lineRule="auto"/>
        <w:ind w:firstLineChars="0"/>
        <w:rPr>
          <w:b/>
          <w:i/>
        </w:rPr>
      </w:pPr>
      <w:r>
        <w:rPr>
          <w:b/>
          <w:i/>
        </w:rPr>
        <w:lastRenderedPageBreak/>
        <w:t xml:space="preserve">Alt-1: One </w:t>
      </w:r>
      <w:r>
        <w:rPr>
          <w:b/>
          <w:i/>
        </w:rPr>
        <w:t>scheduling cell can schedule multiple cell sets, and cell set identification is included in DCI format 0_X/1_X.</w:t>
      </w:r>
    </w:p>
    <w:p w:rsidR="004B76EF" w:rsidRDefault="00774936">
      <w:pPr>
        <w:pStyle w:val="ListParagraph"/>
        <w:numPr>
          <w:ilvl w:val="0"/>
          <w:numId w:val="7"/>
        </w:numPr>
        <w:spacing w:before="120" w:after="120" w:line="276" w:lineRule="auto"/>
        <w:ind w:firstLineChars="0"/>
        <w:rPr>
          <w:b/>
          <w:i/>
        </w:rPr>
      </w:pPr>
      <w:r>
        <w:rPr>
          <w:b/>
          <w:i/>
        </w:rPr>
        <w:t xml:space="preserve">Alt-2: One scheduling cell can be configured to schedule only one cell set, and UE can have multiple scheduling cells. </w:t>
      </w:r>
    </w:p>
    <w:p w:rsidR="004B76EF" w:rsidRDefault="00774936">
      <w:pPr>
        <w:pStyle w:val="ListParagraph"/>
        <w:numPr>
          <w:ilvl w:val="1"/>
          <w:numId w:val="7"/>
        </w:numPr>
        <w:spacing w:before="120" w:after="120" w:line="276" w:lineRule="auto"/>
        <w:ind w:firstLineChars="0"/>
        <w:rPr>
          <w:b/>
          <w:i/>
        </w:rPr>
      </w:pPr>
      <w:r>
        <w:rPr>
          <w:b/>
          <w:i/>
        </w:rPr>
        <w:t>A restriction that one s</w:t>
      </w:r>
      <w:r>
        <w:rPr>
          <w:b/>
          <w:i/>
        </w:rPr>
        <w:t xml:space="preserve">cheduling cell of DCI 0_X/1_X is not scheduled by another scheduling cell applies.   </w:t>
      </w:r>
    </w:p>
    <w:p w:rsidR="004B76EF" w:rsidRDefault="00774936">
      <w:pPr>
        <w:spacing w:after="120" w:line="276" w:lineRule="auto"/>
        <w:rPr>
          <w:b/>
          <w:i/>
        </w:rPr>
      </w:pPr>
      <w:r>
        <w:rPr>
          <w:b/>
          <w:i/>
        </w:rPr>
        <w:t>Proposal 3: RAN1 considers the following methods to restrict DCI 1_X size to be no more than 164.</w:t>
      </w:r>
    </w:p>
    <w:p w:rsidR="004B76EF" w:rsidRDefault="00774936">
      <w:pPr>
        <w:numPr>
          <w:ilvl w:val="0"/>
          <w:numId w:val="8"/>
        </w:numPr>
        <w:tabs>
          <w:tab w:val="clear" w:pos="420"/>
          <w:tab w:val="left" w:pos="800"/>
        </w:tabs>
        <w:spacing w:after="120" w:line="276" w:lineRule="auto"/>
        <w:ind w:left="800"/>
      </w:pPr>
      <w:r>
        <w:rPr>
          <w:b/>
          <w:i/>
        </w:rPr>
        <w:t>Use larger resource allocation granularity to compress the FDRA field si</w:t>
      </w:r>
      <w:r>
        <w:rPr>
          <w:b/>
          <w:i/>
        </w:rPr>
        <w:t>ze; and</w:t>
      </w:r>
    </w:p>
    <w:p w:rsidR="004B76EF" w:rsidRDefault="00774936">
      <w:pPr>
        <w:numPr>
          <w:ilvl w:val="0"/>
          <w:numId w:val="8"/>
        </w:numPr>
        <w:tabs>
          <w:tab w:val="clear" w:pos="420"/>
          <w:tab w:val="left" w:pos="800"/>
        </w:tabs>
        <w:spacing w:after="120" w:line="276" w:lineRule="auto"/>
        <w:ind w:left="800"/>
      </w:pPr>
      <w:r>
        <w:rPr>
          <w:b/>
          <w:i/>
        </w:rPr>
        <w:t xml:space="preserve">Disable TB2 in DCI 1_X when the maximum co-scheduled cells number </w:t>
      </w:r>
      <w:r>
        <w:rPr>
          <w:rFonts w:hint="eastAsia"/>
          <w:b/>
          <w:i/>
        </w:rPr>
        <w:t>given</w:t>
      </w:r>
      <w:r>
        <w:rPr>
          <w:b/>
          <w:i/>
        </w:rPr>
        <w:t xml:space="preserve"> by the co-scheduled cell table is 4.</w:t>
      </w:r>
    </w:p>
    <w:p w:rsidR="004B76EF" w:rsidRDefault="00774936">
      <w:pPr>
        <w:spacing w:after="120" w:line="276" w:lineRule="auto"/>
        <w:rPr>
          <w:b/>
          <w:i/>
        </w:rPr>
      </w:pPr>
      <w:r>
        <w:rPr>
          <w:b/>
          <w:i/>
        </w:rPr>
        <w:t>Proposal 4: RAN1 considers the following methods to restrict DCI 0_X size to be no more than 164.</w:t>
      </w:r>
    </w:p>
    <w:p w:rsidR="004B76EF" w:rsidRDefault="00774936">
      <w:pPr>
        <w:numPr>
          <w:ilvl w:val="0"/>
          <w:numId w:val="8"/>
        </w:numPr>
        <w:tabs>
          <w:tab w:val="clear" w:pos="420"/>
          <w:tab w:val="left" w:pos="800"/>
        </w:tabs>
        <w:spacing w:after="120" w:line="276" w:lineRule="auto"/>
        <w:ind w:left="800"/>
      </w:pPr>
      <w:r>
        <w:rPr>
          <w:b/>
          <w:i/>
        </w:rPr>
        <w:t>Use larger resource allocation granularit</w:t>
      </w:r>
      <w:r>
        <w:rPr>
          <w:b/>
          <w:i/>
        </w:rPr>
        <w:t xml:space="preserve">y to compress the FDRA field size, together with some other methods </w:t>
      </w:r>
      <w:r>
        <w:rPr>
          <w:b/>
          <w:i/>
        </w:rPr>
        <w:t>such as</w:t>
      </w:r>
      <w:bookmarkStart w:id="0" w:name="_GoBack"/>
      <w:bookmarkEnd w:id="0"/>
      <w:r>
        <w:rPr>
          <w:b/>
          <w:i/>
        </w:rPr>
        <w:t xml:space="preserve"> limiting Type-1B field sizes</w:t>
      </w:r>
      <w:r>
        <w:rPr>
          <w:b/>
          <w:i/>
        </w:rPr>
        <w:t>.</w:t>
      </w:r>
    </w:p>
    <w:p w:rsidR="004B76EF" w:rsidRDefault="00774936">
      <w:pPr>
        <w:rPr>
          <w:b/>
          <w:i/>
        </w:rPr>
      </w:pPr>
      <w:r>
        <w:rPr>
          <w:b/>
          <w:i/>
        </w:rPr>
        <w:t>Proposal 5: RAN1 considers the following alternatives to determine the bit width of Type 2 DCI field:</w:t>
      </w:r>
    </w:p>
    <w:p w:rsidR="004B76EF" w:rsidRDefault="00774936">
      <w:pPr>
        <w:pStyle w:val="ListParagraph"/>
        <w:numPr>
          <w:ilvl w:val="0"/>
          <w:numId w:val="7"/>
        </w:numPr>
        <w:spacing w:after="120" w:line="276" w:lineRule="auto"/>
        <w:ind w:firstLineChars="0"/>
        <w:rPr>
          <w:b/>
          <w:i/>
        </w:rPr>
      </w:pPr>
      <w:r>
        <w:rPr>
          <w:rFonts w:hint="eastAsia"/>
          <w:b/>
          <w:i/>
        </w:rPr>
        <w:t>A</w:t>
      </w:r>
      <w:r>
        <w:rPr>
          <w:b/>
          <w:i/>
        </w:rPr>
        <w:t xml:space="preserve">lt 1: The bit width of Type 2 DCI field is determined by the maximum required bit size for the field among all the candidate scheduled cell combinations </w:t>
      </w:r>
      <w:r>
        <w:rPr>
          <w:b/>
          <w:i/>
        </w:rPr>
        <w:t>allowed</w:t>
      </w:r>
      <w:r>
        <w:rPr>
          <w:b/>
          <w:i/>
        </w:rPr>
        <w:t xml:space="preserve"> by the CIF </w:t>
      </w:r>
      <w:r>
        <w:rPr>
          <w:b/>
          <w:i/>
        </w:rPr>
        <w:t>configuration</w:t>
      </w:r>
      <w:r>
        <w:rPr>
          <w:b/>
          <w:i/>
        </w:rPr>
        <w:t>;</w:t>
      </w:r>
    </w:p>
    <w:p w:rsidR="004B76EF" w:rsidRDefault="00774936">
      <w:pPr>
        <w:pStyle w:val="ListParagraph"/>
        <w:numPr>
          <w:ilvl w:val="0"/>
          <w:numId w:val="7"/>
        </w:numPr>
        <w:spacing w:after="120" w:line="276" w:lineRule="auto"/>
        <w:ind w:firstLineChars="0"/>
        <w:rPr>
          <w:b/>
          <w:i/>
        </w:rPr>
      </w:pPr>
      <w:r>
        <w:rPr>
          <w:rFonts w:hint="eastAsia"/>
          <w:b/>
          <w:i/>
        </w:rPr>
        <w:t>A</w:t>
      </w:r>
      <w:r>
        <w:rPr>
          <w:b/>
          <w:i/>
        </w:rPr>
        <w:t xml:space="preserve">lt 2: The bit width of Type 2 DCI field is determined by N*M, where </w:t>
      </w:r>
      <w:r>
        <w:rPr>
          <w:b/>
          <w:i/>
        </w:rPr>
        <w:t>N is the maximum number of cells which can be co-scheduled by DCI format 0_X/1_X, M is the maximum required bit size for the field among all the cells in the set of cells;</w:t>
      </w:r>
    </w:p>
    <w:p w:rsidR="004B76EF" w:rsidRDefault="00774936">
      <w:pPr>
        <w:pStyle w:val="ListParagraph"/>
        <w:numPr>
          <w:ilvl w:val="0"/>
          <w:numId w:val="7"/>
        </w:numPr>
        <w:spacing w:after="120" w:line="276" w:lineRule="auto"/>
        <w:ind w:firstLineChars="0"/>
        <w:rPr>
          <w:b/>
          <w:i/>
        </w:rPr>
      </w:pPr>
      <w:r>
        <w:rPr>
          <w:rFonts w:hint="eastAsia"/>
          <w:b/>
          <w:i/>
        </w:rPr>
        <w:t>A</w:t>
      </w:r>
      <w:r>
        <w:rPr>
          <w:b/>
          <w:i/>
        </w:rPr>
        <w:t>lt 3: The bit width of Type 2 DCI field is determined by the largest N values among</w:t>
      </w:r>
      <w:r>
        <w:rPr>
          <w:b/>
          <w:i/>
        </w:rPr>
        <w:t xml:space="preserve"> {Mi}, where Mi is the required bit size for the field for cell </w:t>
      </w:r>
      <w:proofErr w:type="spellStart"/>
      <w:r>
        <w:rPr>
          <w:b/>
          <w:i/>
        </w:rPr>
        <w:t>i</w:t>
      </w:r>
      <w:proofErr w:type="spellEnd"/>
      <w:r>
        <w:rPr>
          <w:b/>
          <w:i/>
        </w:rPr>
        <w:t xml:space="preserve"> in the set of cells.</w:t>
      </w:r>
    </w:p>
    <w:p w:rsidR="004B76EF" w:rsidRDefault="00774936">
      <w:pPr>
        <w:spacing w:before="120" w:after="120" w:line="276" w:lineRule="auto"/>
        <w:rPr>
          <w:b/>
          <w:i/>
        </w:rPr>
      </w:pPr>
      <w:r>
        <w:rPr>
          <w:b/>
          <w:i/>
        </w:rPr>
        <w:t>Proposal 6: Joint TDRA table defined per cell set is adopted.</w:t>
      </w:r>
    </w:p>
    <w:p w:rsidR="004B76EF" w:rsidRDefault="00774936">
      <w:pPr>
        <w:spacing w:line="276" w:lineRule="auto"/>
        <w:rPr>
          <w:b/>
          <w:i/>
        </w:rPr>
      </w:pPr>
      <w:r>
        <w:rPr>
          <w:rFonts w:hint="eastAsia"/>
          <w:b/>
          <w:i/>
        </w:rPr>
        <w:t>P</w:t>
      </w:r>
      <w:r>
        <w:rPr>
          <w:b/>
          <w:i/>
        </w:rPr>
        <w:t>roposal 7: A scaling factor is introduced to explicitly define the capabilities for single-cell scheduling</w:t>
      </w:r>
      <w:r>
        <w:rPr>
          <w:b/>
          <w:i/>
        </w:rPr>
        <w:t xml:space="preserve"> and multi-cell scheduling. </w:t>
      </w:r>
    </w:p>
    <w:p w:rsidR="004B76EF" w:rsidRDefault="00774936">
      <w:pPr>
        <w:spacing w:line="276" w:lineRule="auto"/>
      </w:pPr>
      <w:r>
        <w:rPr>
          <w:b/>
          <w:i/>
        </w:rPr>
        <w:t>Proposal 8: Restriction for DCI format configuration can be considered to reduce the total number of different DCI size before DCI size alignment.</w:t>
      </w:r>
    </w:p>
    <w:p w:rsidR="004B76EF" w:rsidRDefault="00774936">
      <w:pPr>
        <w:rPr>
          <w:b/>
          <w:i/>
        </w:rPr>
      </w:pPr>
      <w:r>
        <w:rPr>
          <w:rFonts w:hint="eastAsia"/>
          <w:b/>
          <w:i/>
        </w:rPr>
        <w:t>P</w:t>
      </w:r>
      <w:r>
        <w:rPr>
          <w:b/>
          <w:i/>
        </w:rPr>
        <w:t xml:space="preserve">roposal 9: For determining the timing of </w:t>
      </w:r>
      <w:proofErr w:type="gramStart"/>
      <w:r>
        <w:rPr>
          <w:b/>
          <w:i/>
        </w:rPr>
        <w:t>a PUCCH</w:t>
      </w:r>
      <w:proofErr w:type="gramEnd"/>
      <w:r>
        <w:rPr>
          <w:b/>
          <w:i/>
        </w:rPr>
        <w:t xml:space="preserve"> carrying HARQ-ACK information </w:t>
      </w:r>
      <w:r>
        <w:rPr>
          <w:b/>
          <w:i/>
        </w:rPr>
        <w:t>corresponding to a set of co-scheduled PDSCHs by a DCI format 1_X, the reference PDSCH is the PDSCH ending last as indicated in the DCI format 1_X among the set of co-scheduled PDSCHs.</w:t>
      </w:r>
    </w:p>
    <w:p w:rsidR="004B76EF" w:rsidRDefault="00774936">
      <w:pPr>
        <w:spacing w:after="120" w:line="276" w:lineRule="auto"/>
        <w:rPr>
          <w:b/>
          <w:i/>
        </w:rPr>
      </w:pPr>
      <w:r>
        <w:rPr>
          <w:rFonts w:hint="eastAsia"/>
          <w:b/>
          <w:i/>
        </w:rPr>
        <w:t>P</w:t>
      </w:r>
      <w:r>
        <w:rPr>
          <w:b/>
          <w:i/>
        </w:rPr>
        <w:t xml:space="preserve">roposal 10: For Type-2 HARQ-ACK codebook, for a set of cells which is </w:t>
      </w:r>
      <w:r>
        <w:rPr>
          <w:b/>
          <w:i/>
        </w:rPr>
        <w:t>co-scheduled by a DCI format 1_X, the reference PDSCH to determine DAI counting is the PDSCH with smallest serving cell index among the set of co-scheduled cells.</w:t>
      </w:r>
    </w:p>
    <w:p w:rsidR="004B76EF" w:rsidRDefault="00774936">
      <w:pPr>
        <w:spacing w:after="120" w:line="276" w:lineRule="auto"/>
        <w:rPr>
          <w:b/>
          <w:i/>
        </w:rPr>
      </w:pPr>
      <w:r>
        <w:rPr>
          <w:rFonts w:hint="eastAsia"/>
          <w:b/>
          <w:i/>
        </w:rPr>
        <w:t>P</w:t>
      </w:r>
      <w:r>
        <w:rPr>
          <w:b/>
          <w:i/>
        </w:rPr>
        <w:t>roposal 11: For a set of cells which is co-scheduled by a DCI format 1_X, the PDSCH with the</w:t>
      </w:r>
      <w:r>
        <w:rPr>
          <w:b/>
          <w:i/>
        </w:rPr>
        <w:t xml:space="preserve"> smallest serving cell index among the set of co-scheduled cells is used to determine last DCI format for PUCCH determination among DCI formats within a same PDCCH MO. If there are more than one DCIs scheduling </w:t>
      </w:r>
      <w:r>
        <w:rPr>
          <w:b/>
          <w:i/>
        </w:rPr>
        <w:lastRenderedPageBreak/>
        <w:t>PDSCHs with the same smallest serving cell in</w:t>
      </w:r>
      <w:r>
        <w:rPr>
          <w:b/>
          <w:i/>
        </w:rPr>
        <w:t>dex, the following alternatives can be further studied:</w:t>
      </w:r>
    </w:p>
    <w:p w:rsidR="004B76EF" w:rsidRDefault="00774936">
      <w:pPr>
        <w:pStyle w:val="ListParagraph"/>
        <w:numPr>
          <w:ilvl w:val="0"/>
          <w:numId w:val="11"/>
        </w:numPr>
        <w:spacing w:after="120" w:line="276" w:lineRule="auto"/>
        <w:ind w:firstLineChars="0"/>
        <w:rPr>
          <w:b/>
          <w:i/>
        </w:rPr>
      </w:pPr>
      <w:r>
        <w:rPr>
          <w:rFonts w:hint="eastAsia"/>
          <w:b/>
          <w:i/>
        </w:rPr>
        <w:t>A</w:t>
      </w:r>
      <w:r>
        <w:rPr>
          <w:b/>
          <w:i/>
        </w:rPr>
        <w:t xml:space="preserve">lt 1: rely on </w:t>
      </w:r>
      <w:proofErr w:type="spellStart"/>
      <w:r>
        <w:rPr>
          <w:b/>
          <w:i/>
        </w:rPr>
        <w:t>gNB</w:t>
      </w:r>
      <w:proofErr w:type="spellEnd"/>
      <w:r>
        <w:rPr>
          <w:b/>
          <w:i/>
        </w:rPr>
        <w:t xml:space="preserve"> scheduling, e.g. to indicate same PRI when PDCCHs in the same MO scheduled PDSCHs with the same smallest serving cell.</w:t>
      </w:r>
    </w:p>
    <w:p w:rsidR="004B76EF" w:rsidRDefault="00774936">
      <w:pPr>
        <w:pStyle w:val="ListParagraph"/>
        <w:numPr>
          <w:ilvl w:val="0"/>
          <w:numId w:val="11"/>
        </w:numPr>
        <w:spacing w:after="120" w:line="276" w:lineRule="auto"/>
        <w:ind w:firstLineChars="0"/>
        <w:rPr>
          <w:b/>
          <w:i/>
        </w:rPr>
      </w:pPr>
      <w:r>
        <w:rPr>
          <w:rFonts w:hint="eastAsia"/>
          <w:b/>
          <w:i/>
        </w:rPr>
        <w:t>A</w:t>
      </w:r>
      <w:r>
        <w:rPr>
          <w:b/>
          <w:i/>
        </w:rPr>
        <w:t xml:space="preserve">lt 2: define additional rule on top of smallest serving cell </w:t>
      </w:r>
      <w:r>
        <w:rPr>
          <w:b/>
          <w:i/>
        </w:rPr>
        <w:t>index to identify a unique last DCI format, e.g. using the starting symbol of PDSCH, which is same as the rule for DAI counting.</w:t>
      </w:r>
    </w:p>
    <w:p w:rsidR="004B76EF" w:rsidRDefault="00774936">
      <w:pPr>
        <w:spacing w:after="120" w:line="276" w:lineRule="auto"/>
        <w:rPr>
          <w:b/>
          <w:i/>
        </w:rPr>
      </w:pPr>
      <w:r>
        <w:rPr>
          <w:rFonts w:hint="eastAsia"/>
          <w:b/>
          <w:i/>
        </w:rPr>
        <w:t>P</w:t>
      </w:r>
      <w:r>
        <w:rPr>
          <w:b/>
          <w:i/>
        </w:rPr>
        <w:t>roposal 12: For Type-1 HARQ-ACK codebook construction, the following alternatives can be considered:</w:t>
      </w:r>
    </w:p>
    <w:p w:rsidR="004B76EF" w:rsidRDefault="00774936">
      <w:pPr>
        <w:pStyle w:val="ListParagraph"/>
        <w:numPr>
          <w:ilvl w:val="0"/>
          <w:numId w:val="14"/>
        </w:numPr>
        <w:spacing w:after="120" w:line="276" w:lineRule="auto"/>
        <w:ind w:firstLineChars="0"/>
        <w:rPr>
          <w:b/>
          <w:i/>
        </w:rPr>
      </w:pPr>
      <w:r>
        <w:rPr>
          <w:b/>
          <w:i/>
        </w:rPr>
        <w:t>Alt 1: the candidate PDSC</w:t>
      </w:r>
      <w:r>
        <w:rPr>
          <w:b/>
          <w:i/>
        </w:rPr>
        <w:t>H slots are still determined by the configured K1 set while restrict that the slot offset(s) between the co-scheduled PDSCH(s) and the HARQ-ACK is always within the configured K1 set.</w:t>
      </w:r>
    </w:p>
    <w:p w:rsidR="004B76EF" w:rsidRDefault="00774936">
      <w:pPr>
        <w:pStyle w:val="ListParagraph"/>
        <w:numPr>
          <w:ilvl w:val="0"/>
          <w:numId w:val="14"/>
        </w:numPr>
        <w:spacing w:after="120" w:line="276" w:lineRule="auto"/>
        <w:ind w:firstLineChars="0"/>
        <w:rPr>
          <w:b/>
          <w:i/>
        </w:rPr>
      </w:pPr>
      <w:r>
        <w:rPr>
          <w:b/>
          <w:i/>
        </w:rPr>
        <w:t xml:space="preserve">Alt 2: the K1 set is extended per-cell based on the slot offset between </w:t>
      </w:r>
      <w:r>
        <w:rPr>
          <w:b/>
          <w:i/>
        </w:rPr>
        <w:t>the reference PDSCH and the co-scheduled PDSCH of the target cell and the candidate PDSCH slots are determined by the per-cell extended K1 set.</w:t>
      </w:r>
    </w:p>
    <w:p w:rsidR="004B76EF" w:rsidRDefault="00774936">
      <w:pPr>
        <w:spacing w:after="120" w:line="276" w:lineRule="auto"/>
        <w:rPr>
          <w:b/>
          <w:i/>
        </w:rPr>
      </w:pPr>
      <w:r>
        <w:rPr>
          <w:rFonts w:hint="eastAsia"/>
          <w:b/>
          <w:i/>
        </w:rPr>
        <w:t>P</w:t>
      </w:r>
      <w:r>
        <w:rPr>
          <w:b/>
          <w:i/>
        </w:rPr>
        <w:t>roposal 13: For determination of possible PDSCH locations within a slot:</w:t>
      </w:r>
    </w:p>
    <w:p w:rsidR="004B76EF" w:rsidRDefault="00774936">
      <w:pPr>
        <w:pStyle w:val="ListParagraph"/>
        <w:numPr>
          <w:ilvl w:val="0"/>
          <w:numId w:val="14"/>
        </w:numPr>
        <w:spacing w:after="120" w:line="276" w:lineRule="auto"/>
        <w:ind w:firstLineChars="0"/>
        <w:rPr>
          <w:b/>
          <w:i/>
        </w:rPr>
      </w:pPr>
      <w:r>
        <w:rPr>
          <w:b/>
          <w:i/>
        </w:rPr>
        <w:t xml:space="preserve">If new TDRA </w:t>
      </w:r>
      <w:proofErr w:type="gramStart"/>
      <w:r>
        <w:rPr>
          <w:b/>
          <w:i/>
        </w:rPr>
        <w:t>table(s) are</w:t>
      </w:r>
      <w:proofErr w:type="gramEnd"/>
      <w:r>
        <w:rPr>
          <w:b/>
          <w:i/>
        </w:rPr>
        <w:t xml:space="preserve"> defined, then</w:t>
      </w:r>
      <w:r>
        <w:rPr>
          <w:b/>
          <w:i/>
        </w:rPr>
        <w:t xml:space="preserve"> modification is needed for SLIV pruning, e.g. the SLIV set for one cell needs to include all the SLIVs corresponding to that cell in the newly defined TDRA tables(s).</w:t>
      </w:r>
    </w:p>
    <w:p w:rsidR="004B76EF" w:rsidRDefault="00774936">
      <w:pPr>
        <w:pStyle w:val="ListParagraph"/>
        <w:numPr>
          <w:ilvl w:val="0"/>
          <w:numId w:val="14"/>
        </w:numPr>
        <w:spacing w:after="120" w:line="276" w:lineRule="auto"/>
        <w:ind w:firstLineChars="0"/>
        <w:rPr>
          <w:b/>
          <w:i/>
        </w:rPr>
      </w:pPr>
      <w:r>
        <w:rPr>
          <w:b/>
          <w:i/>
        </w:rPr>
        <w:t xml:space="preserve">If legacy TDRA </w:t>
      </w:r>
      <w:proofErr w:type="gramStart"/>
      <w:r>
        <w:rPr>
          <w:b/>
          <w:i/>
        </w:rPr>
        <w:t>table(s) are</w:t>
      </w:r>
      <w:proofErr w:type="gramEnd"/>
      <w:r>
        <w:rPr>
          <w:b/>
          <w:i/>
        </w:rPr>
        <w:t xml:space="preserve"> reused, then no modification is needed for SLIV pruning.</w:t>
      </w:r>
    </w:p>
    <w:p w:rsidR="004B76EF" w:rsidRDefault="00774936">
      <w:pPr>
        <w:spacing w:before="120" w:after="120" w:line="276" w:lineRule="auto"/>
        <w:rPr>
          <w:b/>
          <w:i/>
        </w:rPr>
      </w:pPr>
      <w:r>
        <w:rPr>
          <w:rFonts w:hint="eastAsia"/>
          <w:b/>
          <w:i/>
        </w:rPr>
        <w:t>P</w:t>
      </w:r>
      <w:r>
        <w:rPr>
          <w:b/>
          <w:i/>
        </w:rPr>
        <w:t>ro</w:t>
      </w:r>
      <w:r>
        <w:rPr>
          <w:b/>
          <w:i/>
        </w:rPr>
        <w:t>posal 14: DCI format 1_X should not be used to trigger HARQ-ACK retransmission.</w:t>
      </w:r>
    </w:p>
    <w:p w:rsidR="004B76EF" w:rsidRDefault="00774936">
      <w:pPr>
        <w:spacing w:after="120" w:line="276" w:lineRule="auto"/>
        <w:rPr>
          <w:b/>
          <w:i/>
        </w:rPr>
      </w:pPr>
      <w:r>
        <w:rPr>
          <w:rFonts w:hint="eastAsia"/>
          <w:b/>
          <w:i/>
        </w:rPr>
        <w:t>P</w:t>
      </w:r>
      <w:r>
        <w:rPr>
          <w:b/>
          <w:i/>
        </w:rPr>
        <w:t xml:space="preserve">roposal 15: To trigger a Type-3 HARQ-ACK codebook, One-shot HARQ-ACK request field in DCI format 1_X is set to “1”. </w:t>
      </w:r>
    </w:p>
    <w:p w:rsidR="004B76EF" w:rsidRDefault="00774936">
      <w:pPr>
        <w:pStyle w:val="ListParagraph"/>
        <w:numPr>
          <w:ilvl w:val="0"/>
          <w:numId w:val="14"/>
        </w:numPr>
        <w:spacing w:after="120" w:line="276" w:lineRule="auto"/>
        <w:ind w:firstLineChars="0"/>
        <w:rPr>
          <w:b/>
          <w:i/>
        </w:rPr>
      </w:pPr>
      <w:r>
        <w:rPr>
          <w:b/>
          <w:i/>
        </w:rPr>
        <w:t>Furthermore, if no FDRA field is valid in the same DCI, no</w:t>
      </w:r>
      <w:r>
        <w:rPr>
          <w:b/>
          <w:i/>
        </w:rPr>
        <w:t xml:space="preserve"> PDSCH is scheduled.</w:t>
      </w:r>
    </w:p>
    <w:p w:rsidR="004B76EF" w:rsidRDefault="00774936">
      <w:pPr>
        <w:spacing w:after="120" w:line="276" w:lineRule="auto"/>
        <w:rPr>
          <w:b/>
          <w:i/>
        </w:rPr>
      </w:pPr>
      <w:r>
        <w:rPr>
          <w:rFonts w:hint="eastAsia"/>
          <w:b/>
          <w:i/>
        </w:rPr>
        <w:t>P</w:t>
      </w:r>
      <w:r>
        <w:rPr>
          <w:b/>
          <w:i/>
        </w:rPr>
        <w:t>roposal 16: To trigger an eType-3 HARQ-ACK codebook, One-shot HARQ-ACK request field in DCI format 1_X is set to “1”,</w:t>
      </w:r>
    </w:p>
    <w:p w:rsidR="004B76EF" w:rsidRDefault="00774936">
      <w:pPr>
        <w:pStyle w:val="ListParagraph"/>
        <w:numPr>
          <w:ilvl w:val="0"/>
          <w:numId w:val="14"/>
        </w:numPr>
        <w:spacing w:after="120" w:line="276" w:lineRule="auto"/>
        <w:ind w:firstLineChars="0"/>
        <w:rPr>
          <w:b/>
          <w:i/>
        </w:rPr>
      </w:pPr>
      <w:r>
        <w:rPr>
          <w:b/>
          <w:i/>
        </w:rPr>
        <w:t>If Enhanced Type 3 codebook indicator field is configured as one Type-1A field, it indicates a set index of configur</w:t>
      </w:r>
      <w:r>
        <w:rPr>
          <w:b/>
          <w:i/>
        </w:rPr>
        <w:t>ed CCs/HARQ processes;</w:t>
      </w:r>
    </w:p>
    <w:p w:rsidR="004B76EF" w:rsidRDefault="00774936">
      <w:pPr>
        <w:pStyle w:val="ListParagraph"/>
        <w:numPr>
          <w:ilvl w:val="0"/>
          <w:numId w:val="14"/>
        </w:numPr>
        <w:spacing w:after="120" w:line="276" w:lineRule="auto"/>
        <w:ind w:firstLineChars="0"/>
        <w:rPr>
          <w:b/>
          <w:i/>
        </w:rPr>
      </w:pPr>
      <w:r>
        <w:rPr>
          <w:b/>
          <w:i/>
        </w:rPr>
        <w:t>If Enhanced Type 3 codebook indicator field is not configured,</w:t>
      </w:r>
    </w:p>
    <w:p w:rsidR="004B76EF" w:rsidRDefault="00774936">
      <w:pPr>
        <w:pStyle w:val="ListParagraph"/>
        <w:numPr>
          <w:ilvl w:val="1"/>
          <w:numId w:val="14"/>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w:t>
      </w:r>
      <w:r>
        <w:rPr>
          <w:b/>
          <w:i/>
        </w:rPr>
        <w:t xml:space="preserve"> not carrying valid MCS information for a TB is used to indicate a set index of configured CCs/HARQ processes.</w:t>
      </w:r>
    </w:p>
    <w:p w:rsidR="004B76EF" w:rsidRDefault="00774936">
      <w:pPr>
        <w:pStyle w:val="Heading1"/>
        <w:spacing w:line="276" w:lineRule="auto"/>
      </w:pPr>
      <w:r>
        <w:t>References</w:t>
      </w:r>
    </w:p>
    <w:p w:rsidR="004B76EF" w:rsidRDefault="00774936">
      <w:pPr>
        <w:pStyle w:val="ListParagraph"/>
        <w:numPr>
          <w:ilvl w:val="0"/>
          <w:numId w:val="17"/>
        </w:numPr>
        <w:spacing w:line="276" w:lineRule="auto"/>
        <w:ind w:firstLineChars="0"/>
      </w:pPr>
      <w:r>
        <w:t xml:space="preserve">RP-213577 New WID on Multi-carrier enhancements </w:t>
      </w:r>
    </w:p>
    <w:p w:rsidR="004B76EF" w:rsidRDefault="00774936">
      <w:pPr>
        <w:pStyle w:val="ListParagraph"/>
        <w:numPr>
          <w:ilvl w:val="0"/>
          <w:numId w:val="17"/>
        </w:numPr>
        <w:spacing w:line="276" w:lineRule="auto"/>
        <w:ind w:firstLineChars="0"/>
      </w:pPr>
      <w:r>
        <w:t>RP-193260 New WID on NR Dynamic spectrum sharing (DSS)</w:t>
      </w:r>
    </w:p>
    <w:p w:rsidR="004B76EF" w:rsidRDefault="00774936">
      <w:pPr>
        <w:pStyle w:val="ListParagraph"/>
        <w:numPr>
          <w:ilvl w:val="0"/>
          <w:numId w:val="17"/>
        </w:numPr>
        <w:spacing w:line="276" w:lineRule="auto"/>
        <w:ind w:firstLineChars="0"/>
      </w:pPr>
      <w:r>
        <w:t>R1-2208048 Feature lead summar</w:t>
      </w:r>
      <w:r>
        <w:t>y #6 on multi-cell PUSCH/PDSCH scheduling with a single DCI</w:t>
      </w:r>
    </w:p>
    <w:p w:rsidR="004B76EF" w:rsidRDefault="00774936">
      <w:pPr>
        <w:pStyle w:val="ListParagraph"/>
        <w:numPr>
          <w:ilvl w:val="0"/>
          <w:numId w:val="17"/>
        </w:numPr>
        <w:spacing w:line="276" w:lineRule="auto"/>
        <w:ind w:firstLineChars="0"/>
      </w:pPr>
      <w:r>
        <w:t>R1-2206326 Discussion on multi-cell PUSCH PDSCH scheduling with a single DCI</w:t>
      </w:r>
    </w:p>
    <w:p w:rsidR="004B76EF" w:rsidRDefault="00774936">
      <w:pPr>
        <w:pStyle w:val="ListParagraph"/>
        <w:numPr>
          <w:ilvl w:val="0"/>
          <w:numId w:val="17"/>
        </w:numPr>
        <w:spacing w:line="276" w:lineRule="auto"/>
        <w:ind w:firstLineChars="0"/>
      </w:pPr>
      <w:r>
        <w:lastRenderedPageBreak/>
        <w:t>R1-2212924 Feature lead summary#5 on multi-cell PUSCH/PDSCH scheduling with a single DCI</w:t>
      </w:r>
    </w:p>
    <w:p w:rsidR="004B76EF" w:rsidRDefault="00774936">
      <w:pPr>
        <w:pStyle w:val="ListParagraph"/>
        <w:numPr>
          <w:ilvl w:val="0"/>
          <w:numId w:val="17"/>
        </w:numPr>
        <w:spacing w:line="276" w:lineRule="auto"/>
        <w:ind w:firstLineChars="0"/>
      </w:pPr>
      <w:r>
        <w:t>R1-2211488 Discussion on multi</w:t>
      </w:r>
      <w:r>
        <w:t>-cell PUSCH PDSCH scheduling with a single DCI</w:t>
      </w:r>
    </w:p>
    <w:p w:rsidR="004B76EF" w:rsidRDefault="004B76EF">
      <w:pPr>
        <w:pStyle w:val="ListParagraph"/>
        <w:spacing w:line="276" w:lineRule="auto"/>
        <w:ind w:left="420" w:firstLineChars="0" w:firstLine="0"/>
      </w:pPr>
    </w:p>
    <w:sectPr w:rsidR="004B76EF" w:rsidSect="004B76EF">
      <w:footerReference w:type="default" r:id="rId8"/>
      <w:pgSz w:w="11906" w:h="16838"/>
      <w:pgMar w:top="1440"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6EF" w:rsidRDefault="004B76EF" w:rsidP="004B76EF">
      <w:r>
        <w:separator/>
      </w:r>
    </w:p>
  </w:endnote>
  <w:endnote w:type="continuationSeparator" w:id="0">
    <w:p w:rsidR="004B76EF" w:rsidRDefault="004B76EF" w:rsidP="004B76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iTi">
    <w:altName w:val="Droid Sans Fallback"/>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Droid Sans Fallback"/>
    <w:panose1 w:val="020B0503020000020004"/>
    <w:charset w:val="81"/>
    <w:family w:val="swiss"/>
    <w:pitch w:val="variable"/>
    <w:sig w:usb0="900002AF" w:usb1="09D77CFB" w:usb2="00000012" w:usb3="00000000" w:csb0="00080001" w:csb1="00000000"/>
  </w:font>
  <w:font w:name="Yu Mincho">
    <w:altName w:val="MS Mincho"/>
    <w:charset w:val="80"/>
    <w:family w:val="roman"/>
    <w:pitch w:val="default"/>
    <w:sig w:usb0="00000000" w:usb1="00000000" w:usb2="00000012" w:usb3="00000000" w:csb0="0002009F"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7094"/>
      <w:docPartObj>
        <w:docPartGallery w:val="AutoText"/>
      </w:docPartObj>
    </w:sdtPr>
    <w:sdtContent>
      <w:p w:rsidR="004B76EF" w:rsidRDefault="004B76EF">
        <w:pPr>
          <w:pStyle w:val="Footer"/>
          <w:jc w:val="center"/>
        </w:pPr>
        <w:r>
          <w:fldChar w:fldCharType="begin"/>
        </w:r>
        <w:r w:rsidR="00774936">
          <w:instrText xml:space="preserve"> PAGE   \* MERGEFORMAT </w:instrText>
        </w:r>
        <w:r>
          <w:fldChar w:fldCharType="separate"/>
        </w:r>
        <w:r w:rsidR="00FD233E">
          <w:rPr>
            <w:noProof/>
          </w:rPr>
          <w:t>1</w:t>
        </w:r>
        <w:r>
          <w:fldChar w:fldCharType="end"/>
        </w:r>
      </w:p>
    </w:sdtContent>
  </w:sdt>
  <w:p w:rsidR="004B76EF" w:rsidRDefault="004B76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6EF" w:rsidRDefault="004B76EF" w:rsidP="004B76EF">
      <w:r>
        <w:separator/>
      </w:r>
    </w:p>
  </w:footnote>
  <w:footnote w:type="continuationSeparator" w:id="0">
    <w:p w:rsidR="004B76EF" w:rsidRDefault="004B76EF" w:rsidP="004B76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9F1B3E"/>
    <w:multiLevelType w:val="singleLevel"/>
    <w:tmpl w:val="DE9F1B3E"/>
    <w:lvl w:ilvl="0">
      <w:start w:val="1"/>
      <w:numFmt w:val="bullet"/>
      <w:lvlText w:val=""/>
      <w:lvlJc w:val="left"/>
      <w:pPr>
        <w:tabs>
          <w:tab w:val="left" w:pos="420"/>
        </w:tabs>
        <w:ind w:left="420" w:hanging="420"/>
      </w:pPr>
      <w:rPr>
        <w:rFonts w:ascii="Wingdings" w:hAnsi="Wingdings" w:hint="default"/>
      </w:rPr>
    </w:lvl>
  </w:abstractNum>
  <w:abstractNum w:abstractNumId="1">
    <w:nsid w:val="02412EF3"/>
    <w:multiLevelType w:val="multilevel"/>
    <w:tmpl w:val="02412EF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B263C46"/>
    <w:multiLevelType w:val="multilevel"/>
    <w:tmpl w:val="1B263C46"/>
    <w:lvl w:ilvl="0">
      <w:start w:val="1"/>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2BBB63DD"/>
    <w:multiLevelType w:val="multilevel"/>
    <w:tmpl w:val="2BBB63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F685AF0"/>
    <w:multiLevelType w:val="multilevel"/>
    <w:tmpl w:val="2F685AF0"/>
    <w:lvl w:ilvl="0">
      <w:start w:val="1"/>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nsid w:val="394960AA"/>
    <w:multiLevelType w:val="multilevel"/>
    <w:tmpl w:val="394960AA"/>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BE2032B"/>
    <w:multiLevelType w:val="multilevel"/>
    <w:tmpl w:val="3BE203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E6B62ED"/>
    <w:multiLevelType w:val="multilevel"/>
    <w:tmpl w:val="3E6B62ED"/>
    <w:lvl w:ilvl="0">
      <w:numFmt w:val="bullet"/>
      <w:lvlText w:val="-"/>
      <w:lvlJc w:val="left"/>
      <w:pPr>
        <w:ind w:left="620" w:hanging="420"/>
      </w:pPr>
      <w:rPr>
        <w:rFonts w:ascii="Times" w:eastAsia="MS Mincho"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4A4C0040"/>
    <w:multiLevelType w:val="multilevel"/>
    <w:tmpl w:val="4A4C004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4D66370"/>
    <w:multiLevelType w:val="multilevel"/>
    <w:tmpl w:val="54D6637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4F924D5"/>
    <w:multiLevelType w:val="multilevel"/>
    <w:tmpl w:val="54F924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ACC0B7B"/>
    <w:multiLevelType w:val="multilevel"/>
    <w:tmpl w:val="5ACC0B7B"/>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Times New Roman" w:hAnsi="Times New Roman" w:hint="default"/>
        <w:b/>
        <w:i w:val="0"/>
        <w:sz w:val="20"/>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6">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5"/>
  </w:num>
  <w:num w:numId="2">
    <w:abstractNumId w:val="11"/>
  </w:num>
  <w:num w:numId="3">
    <w:abstractNumId w:val="4"/>
  </w:num>
  <w:num w:numId="4">
    <w:abstractNumId w:val="1"/>
  </w:num>
  <w:num w:numId="5">
    <w:abstractNumId w:val="16"/>
  </w:num>
  <w:num w:numId="6">
    <w:abstractNumId w:val="5"/>
  </w:num>
  <w:num w:numId="7">
    <w:abstractNumId w:val="12"/>
  </w:num>
  <w:num w:numId="8">
    <w:abstractNumId w:val="0"/>
  </w:num>
  <w:num w:numId="9">
    <w:abstractNumId w:val="2"/>
  </w:num>
  <w:num w:numId="10">
    <w:abstractNumId w:val="7"/>
  </w:num>
  <w:num w:numId="11">
    <w:abstractNumId w:val="3"/>
  </w:num>
  <w:num w:numId="12">
    <w:abstractNumId w:val="8"/>
  </w:num>
  <w:num w:numId="13">
    <w:abstractNumId w:val="6"/>
  </w:num>
  <w:num w:numId="14">
    <w:abstractNumId w:val="10"/>
  </w:num>
  <w:num w:numId="15">
    <w:abstractNumId w:val="9"/>
  </w:num>
  <w:num w:numId="16">
    <w:abstractNumId w:val="1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C60"/>
    <w:rsid w:val="A8F766B0"/>
    <w:rsid w:val="BADD9240"/>
    <w:rsid w:val="BB6FF66D"/>
    <w:rsid w:val="BECBF085"/>
    <w:rsid w:val="CFDFB9E2"/>
    <w:rsid w:val="CFEE01E7"/>
    <w:rsid w:val="CFFE322C"/>
    <w:rsid w:val="D3F3DB3C"/>
    <w:rsid w:val="ECEFE9A6"/>
    <w:rsid w:val="F3F5CC39"/>
    <w:rsid w:val="F7FADA87"/>
    <w:rsid w:val="FB8A04A9"/>
    <w:rsid w:val="FE7F2B30"/>
    <w:rsid w:val="0000152D"/>
    <w:rsid w:val="000016E0"/>
    <w:rsid w:val="00001FA0"/>
    <w:rsid w:val="000075B2"/>
    <w:rsid w:val="00014D58"/>
    <w:rsid w:val="00015440"/>
    <w:rsid w:val="00015B0F"/>
    <w:rsid w:val="00016621"/>
    <w:rsid w:val="000170F7"/>
    <w:rsid w:val="00021242"/>
    <w:rsid w:val="00021CCA"/>
    <w:rsid w:val="00022A6D"/>
    <w:rsid w:val="00023802"/>
    <w:rsid w:val="00025A55"/>
    <w:rsid w:val="00026AD9"/>
    <w:rsid w:val="0002708B"/>
    <w:rsid w:val="000319D3"/>
    <w:rsid w:val="00031BC3"/>
    <w:rsid w:val="000334B3"/>
    <w:rsid w:val="00034E37"/>
    <w:rsid w:val="00036B24"/>
    <w:rsid w:val="0003743E"/>
    <w:rsid w:val="00042B74"/>
    <w:rsid w:val="00051D5A"/>
    <w:rsid w:val="00052A69"/>
    <w:rsid w:val="00053D93"/>
    <w:rsid w:val="00060D12"/>
    <w:rsid w:val="00066E95"/>
    <w:rsid w:val="00067BE9"/>
    <w:rsid w:val="00073028"/>
    <w:rsid w:val="00074752"/>
    <w:rsid w:val="00074F79"/>
    <w:rsid w:val="00077399"/>
    <w:rsid w:val="00080173"/>
    <w:rsid w:val="00080D82"/>
    <w:rsid w:val="0008510D"/>
    <w:rsid w:val="00086F6C"/>
    <w:rsid w:val="000874C5"/>
    <w:rsid w:val="00087658"/>
    <w:rsid w:val="00090F5A"/>
    <w:rsid w:val="0009257F"/>
    <w:rsid w:val="0009469B"/>
    <w:rsid w:val="00095342"/>
    <w:rsid w:val="00096F67"/>
    <w:rsid w:val="00097A9B"/>
    <w:rsid w:val="000A1010"/>
    <w:rsid w:val="000A1CBE"/>
    <w:rsid w:val="000A2305"/>
    <w:rsid w:val="000A4260"/>
    <w:rsid w:val="000A555E"/>
    <w:rsid w:val="000A619A"/>
    <w:rsid w:val="000A78BF"/>
    <w:rsid w:val="000B084F"/>
    <w:rsid w:val="000B232C"/>
    <w:rsid w:val="000B2B6B"/>
    <w:rsid w:val="000B4CFF"/>
    <w:rsid w:val="000C446B"/>
    <w:rsid w:val="000D0A5B"/>
    <w:rsid w:val="000D0D79"/>
    <w:rsid w:val="000D1563"/>
    <w:rsid w:val="000E02FC"/>
    <w:rsid w:val="000E19C4"/>
    <w:rsid w:val="000E3503"/>
    <w:rsid w:val="000E3633"/>
    <w:rsid w:val="000E594E"/>
    <w:rsid w:val="000E5B87"/>
    <w:rsid w:val="000E725D"/>
    <w:rsid w:val="000E737D"/>
    <w:rsid w:val="000E7A08"/>
    <w:rsid w:val="000F1FA9"/>
    <w:rsid w:val="000F48A2"/>
    <w:rsid w:val="000F4C3B"/>
    <w:rsid w:val="001017BA"/>
    <w:rsid w:val="00101FDE"/>
    <w:rsid w:val="00102ADC"/>
    <w:rsid w:val="00104B62"/>
    <w:rsid w:val="001069C7"/>
    <w:rsid w:val="00111EB1"/>
    <w:rsid w:val="00112886"/>
    <w:rsid w:val="00113BD3"/>
    <w:rsid w:val="00115ABD"/>
    <w:rsid w:val="0012275D"/>
    <w:rsid w:val="00123943"/>
    <w:rsid w:val="00125386"/>
    <w:rsid w:val="001310A7"/>
    <w:rsid w:val="00131EDA"/>
    <w:rsid w:val="00133DC1"/>
    <w:rsid w:val="00135CA0"/>
    <w:rsid w:val="0013614D"/>
    <w:rsid w:val="0014109B"/>
    <w:rsid w:val="00141533"/>
    <w:rsid w:val="00141FCC"/>
    <w:rsid w:val="00147ADC"/>
    <w:rsid w:val="00154B6F"/>
    <w:rsid w:val="00155DD4"/>
    <w:rsid w:val="001562AD"/>
    <w:rsid w:val="0016011D"/>
    <w:rsid w:val="001636F5"/>
    <w:rsid w:val="001638C5"/>
    <w:rsid w:val="001644CD"/>
    <w:rsid w:val="00164E5B"/>
    <w:rsid w:val="00165700"/>
    <w:rsid w:val="00166E64"/>
    <w:rsid w:val="001722A7"/>
    <w:rsid w:val="001736E1"/>
    <w:rsid w:val="0017637B"/>
    <w:rsid w:val="00176712"/>
    <w:rsid w:val="00176AFE"/>
    <w:rsid w:val="0018201E"/>
    <w:rsid w:val="00183BE2"/>
    <w:rsid w:val="001860AD"/>
    <w:rsid w:val="00190B83"/>
    <w:rsid w:val="00191FC6"/>
    <w:rsid w:val="001925B7"/>
    <w:rsid w:val="0019528D"/>
    <w:rsid w:val="00195B87"/>
    <w:rsid w:val="001A09BF"/>
    <w:rsid w:val="001A1CF9"/>
    <w:rsid w:val="001A1DA0"/>
    <w:rsid w:val="001A351C"/>
    <w:rsid w:val="001A6F7C"/>
    <w:rsid w:val="001B1401"/>
    <w:rsid w:val="001B2EEE"/>
    <w:rsid w:val="001B6BAB"/>
    <w:rsid w:val="001B72AD"/>
    <w:rsid w:val="001C424A"/>
    <w:rsid w:val="001C620E"/>
    <w:rsid w:val="001C698C"/>
    <w:rsid w:val="001D0648"/>
    <w:rsid w:val="001D2B4D"/>
    <w:rsid w:val="001D3DF4"/>
    <w:rsid w:val="001D71B1"/>
    <w:rsid w:val="001E0E89"/>
    <w:rsid w:val="001E0EE9"/>
    <w:rsid w:val="001E2DF1"/>
    <w:rsid w:val="001E358A"/>
    <w:rsid w:val="001E4920"/>
    <w:rsid w:val="001E62E8"/>
    <w:rsid w:val="001E64EC"/>
    <w:rsid w:val="001E7460"/>
    <w:rsid w:val="001F1182"/>
    <w:rsid w:val="001F5418"/>
    <w:rsid w:val="001F5564"/>
    <w:rsid w:val="002034DF"/>
    <w:rsid w:val="00203585"/>
    <w:rsid w:val="0020395B"/>
    <w:rsid w:val="00204994"/>
    <w:rsid w:val="0020502A"/>
    <w:rsid w:val="00205112"/>
    <w:rsid w:val="00205A98"/>
    <w:rsid w:val="002060D2"/>
    <w:rsid w:val="00206373"/>
    <w:rsid w:val="00210CCA"/>
    <w:rsid w:val="00211918"/>
    <w:rsid w:val="002162A8"/>
    <w:rsid w:val="00216D9C"/>
    <w:rsid w:val="00224080"/>
    <w:rsid w:val="002241DF"/>
    <w:rsid w:val="0022666C"/>
    <w:rsid w:val="00227A37"/>
    <w:rsid w:val="002309C9"/>
    <w:rsid w:val="00230BD5"/>
    <w:rsid w:val="00233F6E"/>
    <w:rsid w:val="00236EAA"/>
    <w:rsid w:val="0023708B"/>
    <w:rsid w:val="002372DF"/>
    <w:rsid w:val="002418DF"/>
    <w:rsid w:val="00246903"/>
    <w:rsid w:val="00250BDE"/>
    <w:rsid w:val="00253294"/>
    <w:rsid w:val="002535EE"/>
    <w:rsid w:val="00257725"/>
    <w:rsid w:val="00261384"/>
    <w:rsid w:val="002632AD"/>
    <w:rsid w:val="002658E3"/>
    <w:rsid w:val="00266746"/>
    <w:rsid w:val="002669A7"/>
    <w:rsid w:val="00266BE3"/>
    <w:rsid w:val="00266DB0"/>
    <w:rsid w:val="0027153E"/>
    <w:rsid w:val="002738F9"/>
    <w:rsid w:val="0027498F"/>
    <w:rsid w:val="002759BB"/>
    <w:rsid w:val="00283643"/>
    <w:rsid w:val="00287703"/>
    <w:rsid w:val="002A2F45"/>
    <w:rsid w:val="002A55D9"/>
    <w:rsid w:val="002A7B6F"/>
    <w:rsid w:val="002B076A"/>
    <w:rsid w:val="002B1DEA"/>
    <w:rsid w:val="002B280C"/>
    <w:rsid w:val="002B2F6A"/>
    <w:rsid w:val="002B537C"/>
    <w:rsid w:val="002B6B0F"/>
    <w:rsid w:val="002B7869"/>
    <w:rsid w:val="002C02E8"/>
    <w:rsid w:val="002C0C86"/>
    <w:rsid w:val="002C3F3B"/>
    <w:rsid w:val="002C7700"/>
    <w:rsid w:val="002D05C7"/>
    <w:rsid w:val="002D0B33"/>
    <w:rsid w:val="002D0DFF"/>
    <w:rsid w:val="002D2F10"/>
    <w:rsid w:val="002D3A9A"/>
    <w:rsid w:val="002D73F8"/>
    <w:rsid w:val="002E0651"/>
    <w:rsid w:val="002E1121"/>
    <w:rsid w:val="002E43E5"/>
    <w:rsid w:val="002E4908"/>
    <w:rsid w:val="002E5FAD"/>
    <w:rsid w:val="002E7630"/>
    <w:rsid w:val="002F2195"/>
    <w:rsid w:val="002F2C9F"/>
    <w:rsid w:val="002F4149"/>
    <w:rsid w:val="002F4684"/>
    <w:rsid w:val="002F4D36"/>
    <w:rsid w:val="002F7588"/>
    <w:rsid w:val="0030120F"/>
    <w:rsid w:val="0030716A"/>
    <w:rsid w:val="0030720E"/>
    <w:rsid w:val="0030749E"/>
    <w:rsid w:val="003107DD"/>
    <w:rsid w:val="003112DD"/>
    <w:rsid w:val="003149A4"/>
    <w:rsid w:val="00314F75"/>
    <w:rsid w:val="00316CA5"/>
    <w:rsid w:val="00316FC7"/>
    <w:rsid w:val="00320581"/>
    <w:rsid w:val="00321779"/>
    <w:rsid w:val="003237B9"/>
    <w:rsid w:val="0032441C"/>
    <w:rsid w:val="00324471"/>
    <w:rsid w:val="003247D2"/>
    <w:rsid w:val="00326633"/>
    <w:rsid w:val="00331017"/>
    <w:rsid w:val="00334657"/>
    <w:rsid w:val="00335631"/>
    <w:rsid w:val="00345881"/>
    <w:rsid w:val="00347617"/>
    <w:rsid w:val="00350B0A"/>
    <w:rsid w:val="00355C4F"/>
    <w:rsid w:val="00356C7C"/>
    <w:rsid w:val="00361142"/>
    <w:rsid w:val="00361873"/>
    <w:rsid w:val="00361BC3"/>
    <w:rsid w:val="00365BB8"/>
    <w:rsid w:val="00371B44"/>
    <w:rsid w:val="00374780"/>
    <w:rsid w:val="00376916"/>
    <w:rsid w:val="0038031F"/>
    <w:rsid w:val="00380ABE"/>
    <w:rsid w:val="00381F2F"/>
    <w:rsid w:val="0038255B"/>
    <w:rsid w:val="0038639F"/>
    <w:rsid w:val="003871F2"/>
    <w:rsid w:val="00387576"/>
    <w:rsid w:val="00390FF8"/>
    <w:rsid w:val="003916DA"/>
    <w:rsid w:val="00394031"/>
    <w:rsid w:val="003945BB"/>
    <w:rsid w:val="003946EE"/>
    <w:rsid w:val="003952DD"/>
    <w:rsid w:val="003A064A"/>
    <w:rsid w:val="003A539E"/>
    <w:rsid w:val="003A5C0A"/>
    <w:rsid w:val="003A64CF"/>
    <w:rsid w:val="003A7661"/>
    <w:rsid w:val="003B205A"/>
    <w:rsid w:val="003B27BD"/>
    <w:rsid w:val="003B285F"/>
    <w:rsid w:val="003B32EE"/>
    <w:rsid w:val="003B4C37"/>
    <w:rsid w:val="003B58CB"/>
    <w:rsid w:val="003B6C17"/>
    <w:rsid w:val="003B717F"/>
    <w:rsid w:val="003C0F36"/>
    <w:rsid w:val="003C4C21"/>
    <w:rsid w:val="003C6096"/>
    <w:rsid w:val="003C6216"/>
    <w:rsid w:val="003C78A7"/>
    <w:rsid w:val="003C7BDA"/>
    <w:rsid w:val="003C7D1F"/>
    <w:rsid w:val="003C7F7F"/>
    <w:rsid w:val="003D0B6A"/>
    <w:rsid w:val="003D2959"/>
    <w:rsid w:val="003D3D0E"/>
    <w:rsid w:val="003D7F5B"/>
    <w:rsid w:val="003E0194"/>
    <w:rsid w:val="003E0895"/>
    <w:rsid w:val="003E1244"/>
    <w:rsid w:val="003E5B3B"/>
    <w:rsid w:val="003E79E2"/>
    <w:rsid w:val="003E7A15"/>
    <w:rsid w:val="003F03BD"/>
    <w:rsid w:val="003F3D3C"/>
    <w:rsid w:val="003F4BAD"/>
    <w:rsid w:val="003F622A"/>
    <w:rsid w:val="00400894"/>
    <w:rsid w:val="00401DB3"/>
    <w:rsid w:val="004049E8"/>
    <w:rsid w:val="00406802"/>
    <w:rsid w:val="00411995"/>
    <w:rsid w:val="004121CD"/>
    <w:rsid w:val="00412566"/>
    <w:rsid w:val="004145A3"/>
    <w:rsid w:val="00416ADB"/>
    <w:rsid w:val="00423190"/>
    <w:rsid w:val="00425AC6"/>
    <w:rsid w:val="0042672C"/>
    <w:rsid w:val="00427754"/>
    <w:rsid w:val="004316FF"/>
    <w:rsid w:val="004320EF"/>
    <w:rsid w:val="00441A2A"/>
    <w:rsid w:val="004433DF"/>
    <w:rsid w:val="00444ED1"/>
    <w:rsid w:val="00447E15"/>
    <w:rsid w:val="00463B8B"/>
    <w:rsid w:val="00467558"/>
    <w:rsid w:val="004701BF"/>
    <w:rsid w:val="0047115B"/>
    <w:rsid w:val="0047135A"/>
    <w:rsid w:val="00472F5A"/>
    <w:rsid w:val="00473E46"/>
    <w:rsid w:val="004773B3"/>
    <w:rsid w:val="0048137A"/>
    <w:rsid w:val="00484D8C"/>
    <w:rsid w:val="004A1D2B"/>
    <w:rsid w:val="004A251C"/>
    <w:rsid w:val="004A49BB"/>
    <w:rsid w:val="004A5212"/>
    <w:rsid w:val="004B1469"/>
    <w:rsid w:val="004B29B3"/>
    <w:rsid w:val="004B76EF"/>
    <w:rsid w:val="004C3504"/>
    <w:rsid w:val="004C4459"/>
    <w:rsid w:val="004C553D"/>
    <w:rsid w:val="004C5CDA"/>
    <w:rsid w:val="004C68D3"/>
    <w:rsid w:val="004C7156"/>
    <w:rsid w:val="004C74D7"/>
    <w:rsid w:val="004D1D86"/>
    <w:rsid w:val="004D2040"/>
    <w:rsid w:val="004D25AB"/>
    <w:rsid w:val="004D26F7"/>
    <w:rsid w:val="004D4CDF"/>
    <w:rsid w:val="004D7148"/>
    <w:rsid w:val="004E01AE"/>
    <w:rsid w:val="004E0F46"/>
    <w:rsid w:val="004E3ACD"/>
    <w:rsid w:val="004E3F97"/>
    <w:rsid w:val="004E7272"/>
    <w:rsid w:val="004F3B10"/>
    <w:rsid w:val="004F6E34"/>
    <w:rsid w:val="005043BE"/>
    <w:rsid w:val="005102E6"/>
    <w:rsid w:val="0051479D"/>
    <w:rsid w:val="00514CF1"/>
    <w:rsid w:val="00516FA7"/>
    <w:rsid w:val="0052310C"/>
    <w:rsid w:val="00526636"/>
    <w:rsid w:val="00526B43"/>
    <w:rsid w:val="005308C6"/>
    <w:rsid w:val="00530A06"/>
    <w:rsid w:val="00531005"/>
    <w:rsid w:val="00535A49"/>
    <w:rsid w:val="00536DE0"/>
    <w:rsid w:val="00537BF7"/>
    <w:rsid w:val="0054435A"/>
    <w:rsid w:val="00544580"/>
    <w:rsid w:val="005445BA"/>
    <w:rsid w:val="00545AB0"/>
    <w:rsid w:val="0054794D"/>
    <w:rsid w:val="00547B00"/>
    <w:rsid w:val="0055119F"/>
    <w:rsid w:val="005551AC"/>
    <w:rsid w:val="00563A7B"/>
    <w:rsid w:val="00563DF0"/>
    <w:rsid w:val="00564FA9"/>
    <w:rsid w:val="00566602"/>
    <w:rsid w:val="005666DA"/>
    <w:rsid w:val="00572A94"/>
    <w:rsid w:val="00572D73"/>
    <w:rsid w:val="00576C73"/>
    <w:rsid w:val="005778B2"/>
    <w:rsid w:val="00582883"/>
    <w:rsid w:val="00583084"/>
    <w:rsid w:val="00586443"/>
    <w:rsid w:val="00587D54"/>
    <w:rsid w:val="00590D90"/>
    <w:rsid w:val="00591A30"/>
    <w:rsid w:val="0059224A"/>
    <w:rsid w:val="00593768"/>
    <w:rsid w:val="00593AF0"/>
    <w:rsid w:val="00593E29"/>
    <w:rsid w:val="00597331"/>
    <w:rsid w:val="00597568"/>
    <w:rsid w:val="005A0249"/>
    <w:rsid w:val="005A0B63"/>
    <w:rsid w:val="005A4A54"/>
    <w:rsid w:val="005A6918"/>
    <w:rsid w:val="005B0A78"/>
    <w:rsid w:val="005B0C17"/>
    <w:rsid w:val="005B10B7"/>
    <w:rsid w:val="005B2C2C"/>
    <w:rsid w:val="005B7B35"/>
    <w:rsid w:val="005C243F"/>
    <w:rsid w:val="005C280F"/>
    <w:rsid w:val="005C2C45"/>
    <w:rsid w:val="005C54DE"/>
    <w:rsid w:val="005C7633"/>
    <w:rsid w:val="005D144A"/>
    <w:rsid w:val="005D3639"/>
    <w:rsid w:val="005D3982"/>
    <w:rsid w:val="005D5A86"/>
    <w:rsid w:val="005D6907"/>
    <w:rsid w:val="005D6C6A"/>
    <w:rsid w:val="005E07B1"/>
    <w:rsid w:val="005E26EF"/>
    <w:rsid w:val="005E74AD"/>
    <w:rsid w:val="005F0582"/>
    <w:rsid w:val="005F6948"/>
    <w:rsid w:val="00600491"/>
    <w:rsid w:val="006056E7"/>
    <w:rsid w:val="00610E8C"/>
    <w:rsid w:val="00611200"/>
    <w:rsid w:val="0061141D"/>
    <w:rsid w:val="00613EAB"/>
    <w:rsid w:val="006154F5"/>
    <w:rsid w:val="006204A7"/>
    <w:rsid w:val="00622C99"/>
    <w:rsid w:val="00623D0F"/>
    <w:rsid w:val="00630127"/>
    <w:rsid w:val="006350E3"/>
    <w:rsid w:val="006357A1"/>
    <w:rsid w:val="00641B56"/>
    <w:rsid w:val="00643A84"/>
    <w:rsid w:val="00643D31"/>
    <w:rsid w:val="00646576"/>
    <w:rsid w:val="00647C23"/>
    <w:rsid w:val="00650408"/>
    <w:rsid w:val="00650690"/>
    <w:rsid w:val="006532ED"/>
    <w:rsid w:val="00653475"/>
    <w:rsid w:val="00653F21"/>
    <w:rsid w:val="00657AE3"/>
    <w:rsid w:val="00661A75"/>
    <w:rsid w:val="006624B7"/>
    <w:rsid w:val="00662892"/>
    <w:rsid w:val="0066625D"/>
    <w:rsid w:val="00670852"/>
    <w:rsid w:val="00674B05"/>
    <w:rsid w:val="00677C33"/>
    <w:rsid w:val="00680333"/>
    <w:rsid w:val="0068052B"/>
    <w:rsid w:val="00681C08"/>
    <w:rsid w:val="006840C9"/>
    <w:rsid w:val="00684987"/>
    <w:rsid w:val="00684EC3"/>
    <w:rsid w:val="006871D3"/>
    <w:rsid w:val="00691FB2"/>
    <w:rsid w:val="0069311B"/>
    <w:rsid w:val="006933A5"/>
    <w:rsid w:val="00695DA5"/>
    <w:rsid w:val="006972EE"/>
    <w:rsid w:val="00697CCC"/>
    <w:rsid w:val="006A0FBD"/>
    <w:rsid w:val="006A250F"/>
    <w:rsid w:val="006A3E71"/>
    <w:rsid w:val="006A4568"/>
    <w:rsid w:val="006A5814"/>
    <w:rsid w:val="006A69C2"/>
    <w:rsid w:val="006A7657"/>
    <w:rsid w:val="006B226B"/>
    <w:rsid w:val="006B335C"/>
    <w:rsid w:val="006B50B7"/>
    <w:rsid w:val="006B6C0D"/>
    <w:rsid w:val="006B7B34"/>
    <w:rsid w:val="006C0B61"/>
    <w:rsid w:val="006D0C8F"/>
    <w:rsid w:val="006D2984"/>
    <w:rsid w:val="006E373A"/>
    <w:rsid w:val="006E584A"/>
    <w:rsid w:val="006E58B9"/>
    <w:rsid w:val="006E68C4"/>
    <w:rsid w:val="006F1F3B"/>
    <w:rsid w:val="006F6B03"/>
    <w:rsid w:val="00702010"/>
    <w:rsid w:val="007037F3"/>
    <w:rsid w:val="0070454C"/>
    <w:rsid w:val="00704EF9"/>
    <w:rsid w:val="00704F80"/>
    <w:rsid w:val="0070625E"/>
    <w:rsid w:val="0071131F"/>
    <w:rsid w:val="007131B5"/>
    <w:rsid w:val="00713CD9"/>
    <w:rsid w:val="0071614B"/>
    <w:rsid w:val="00723DA5"/>
    <w:rsid w:val="0072467D"/>
    <w:rsid w:val="00724996"/>
    <w:rsid w:val="007260BC"/>
    <w:rsid w:val="0073556A"/>
    <w:rsid w:val="00735D8F"/>
    <w:rsid w:val="0074210D"/>
    <w:rsid w:val="0074249F"/>
    <w:rsid w:val="0074528F"/>
    <w:rsid w:val="00746847"/>
    <w:rsid w:val="007469C1"/>
    <w:rsid w:val="00747F4C"/>
    <w:rsid w:val="00750141"/>
    <w:rsid w:val="0075318D"/>
    <w:rsid w:val="00755D47"/>
    <w:rsid w:val="00762C07"/>
    <w:rsid w:val="007631C7"/>
    <w:rsid w:val="00765371"/>
    <w:rsid w:val="00774936"/>
    <w:rsid w:val="00774F47"/>
    <w:rsid w:val="00775C3F"/>
    <w:rsid w:val="00777683"/>
    <w:rsid w:val="00781095"/>
    <w:rsid w:val="00782F06"/>
    <w:rsid w:val="007830F1"/>
    <w:rsid w:val="00785F27"/>
    <w:rsid w:val="00787829"/>
    <w:rsid w:val="007935E3"/>
    <w:rsid w:val="007978EA"/>
    <w:rsid w:val="00797C52"/>
    <w:rsid w:val="007A6854"/>
    <w:rsid w:val="007A6947"/>
    <w:rsid w:val="007A6B5C"/>
    <w:rsid w:val="007B09B2"/>
    <w:rsid w:val="007B2074"/>
    <w:rsid w:val="007B42AE"/>
    <w:rsid w:val="007B680C"/>
    <w:rsid w:val="007B7738"/>
    <w:rsid w:val="007B7757"/>
    <w:rsid w:val="007C0096"/>
    <w:rsid w:val="007C0805"/>
    <w:rsid w:val="007C3F3C"/>
    <w:rsid w:val="007D1F4D"/>
    <w:rsid w:val="007D490B"/>
    <w:rsid w:val="007D7C3B"/>
    <w:rsid w:val="007E0EC5"/>
    <w:rsid w:val="007E0F8A"/>
    <w:rsid w:val="007E1977"/>
    <w:rsid w:val="007E25A9"/>
    <w:rsid w:val="007E5BC2"/>
    <w:rsid w:val="007F0DE1"/>
    <w:rsid w:val="007F3DDC"/>
    <w:rsid w:val="00801AA7"/>
    <w:rsid w:val="008027AA"/>
    <w:rsid w:val="00807CF9"/>
    <w:rsid w:val="00810C25"/>
    <w:rsid w:val="00816ACC"/>
    <w:rsid w:val="008209EA"/>
    <w:rsid w:val="00824BD3"/>
    <w:rsid w:val="00832BCC"/>
    <w:rsid w:val="008340A3"/>
    <w:rsid w:val="00835C33"/>
    <w:rsid w:val="008373C4"/>
    <w:rsid w:val="008377F6"/>
    <w:rsid w:val="0084059C"/>
    <w:rsid w:val="00841728"/>
    <w:rsid w:val="008420F4"/>
    <w:rsid w:val="008435A9"/>
    <w:rsid w:val="008471DB"/>
    <w:rsid w:val="0085209D"/>
    <w:rsid w:val="00854118"/>
    <w:rsid w:val="00854901"/>
    <w:rsid w:val="0085623D"/>
    <w:rsid w:val="00861650"/>
    <w:rsid w:val="00861AB1"/>
    <w:rsid w:val="00871DE9"/>
    <w:rsid w:val="0087243C"/>
    <w:rsid w:val="00873A09"/>
    <w:rsid w:val="00874506"/>
    <w:rsid w:val="00875FBB"/>
    <w:rsid w:val="00876817"/>
    <w:rsid w:val="00882488"/>
    <w:rsid w:val="00882864"/>
    <w:rsid w:val="00882D7A"/>
    <w:rsid w:val="00882F98"/>
    <w:rsid w:val="00884FE9"/>
    <w:rsid w:val="00885947"/>
    <w:rsid w:val="00887937"/>
    <w:rsid w:val="0088793F"/>
    <w:rsid w:val="0089214F"/>
    <w:rsid w:val="00896A45"/>
    <w:rsid w:val="008979B3"/>
    <w:rsid w:val="008A33AE"/>
    <w:rsid w:val="008A4965"/>
    <w:rsid w:val="008A5DAA"/>
    <w:rsid w:val="008A5ECF"/>
    <w:rsid w:val="008A5EE6"/>
    <w:rsid w:val="008A699A"/>
    <w:rsid w:val="008B060B"/>
    <w:rsid w:val="008B09D3"/>
    <w:rsid w:val="008B23CA"/>
    <w:rsid w:val="008B27A8"/>
    <w:rsid w:val="008B4961"/>
    <w:rsid w:val="008B5916"/>
    <w:rsid w:val="008C0CD1"/>
    <w:rsid w:val="008C20C3"/>
    <w:rsid w:val="008C5C5B"/>
    <w:rsid w:val="008C7319"/>
    <w:rsid w:val="008D0897"/>
    <w:rsid w:val="008D0ECA"/>
    <w:rsid w:val="008D42F9"/>
    <w:rsid w:val="008D617F"/>
    <w:rsid w:val="008D76C9"/>
    <w:rsid w:val="008E2A77"/>
    <w:rsid w:val="008E3EE2"/>
    <w:rsid w:val="008E4C9D"/>
    <w:rsid w:val="008E5D0A"/>
    <w:rsid w:val="008F1A7F"/>
    <w:rsid w:val="008F49C2"/>
    <w:rsid w:val="008F6C71"/>
    <w:rsid w:val="009022B5"/>
    <w:rsid w:val="00905285"/>
    <w:rsid w:val="009074AB"/>
    <w:rsid w:val="0090754D"/>
    <w:rsid w:val="009117BF"/>
    <w:rsid w:val="0091235C"/>
    <w:rsid w:val="00912822"/>
    <w:rsid w:val="00916484"/>
    <w:rsid w:val="00926349"/>
    <w:rsid w:val="009279C4"/>
    <w:rsid w:val="009302DF"/>
    <w:rsid w:val="0093258D"/>
    <w:rsid w:val="00933E8D"/>
    <w:rsid w:val="00934E4E"/>
    <w:rsid w:val="00936800"/>
    <w:rsid w:val="009459AF"/>
    <w:rsid w:val="009513D0"/>
    <w:rsid w:val="0095187C"/>
    <w:rsid w:val="0095310E"/>
    <w:rsid w:val="0095403F"/>
    <w:rsid w:val="00954D18"/>
    <w:rsid w:val="00956BA0"/>
    <w:rsid w:val="00965C92"/>
    <w:rsid w:val="00966D5A"/>
    <w:rsid w:val="009673A7"/>
    <w:rsid w:val="00974217"/>
    <w:rsid w:val="00977049"/>
    <w:rsid w:val="00982DE8"/>
    <w:rsid w:val="00983065"/>
    <w:rsid w:val="00984D3E"/>
    <w:rsid w:val="00985FFB"/>
    <w:rsid w:val="00987148"/>
    <w:rsid w:val="00987881"/>
    <w:rsid w:val="0099118B"/>
    <w:rsid w:val="00993212"/>
    <w:rsid w:val="009975CC"/>
    <w:rsid w:val="009A1DAA"/>
    <w:rsid w:val="009A22C9"/>
    <w:rsid w:val="009A3D0A"/>
    <w:rsid w:val="009A4D2D"/>
    <w:rsid w:val="009A4E49"/>
    <w:rsid w:val="009A5275"/>
    <w:rsid w:val="009B0A41"/>
    <w:rsid w:val="009B10AA"/>
    <w:rsid w:val="009B175B"/>
    <w:rsid w:val="009B1B75"/>
    <w:rsid w:val="009B2121"/>
    <w:rsid w:val="009B3A05"/>
    <w:rsid w:val="009B4AA0"/>
    <w:rsid w:val="009C1BDE"/>
    <w:rsid w:val="009C339A"/>
    <w:rsid w:val="009C7672"/>
    <w:rsid w:val="009C7F6D"/>
    <w:rsid w:val="009D1BAD"/>
    <w:rsid w:val="009D4DBE"/>
    <w:rsid w:val="009D4F08"/>
    <w:rsid w:val="009E06BC"/>
    <w:rsid w:val="009E28E1"/>
    <w:rsid w:val="009E7395"/>
    <w:rsid w:val="009E7EEF"/>
    <w:rsid w:val="009F13D4"/>
    <w:rsid w:val="009F28A1"/>
    <w:rsid w:val="009F471A"/>
    <w:rsid w:val="009F50D3"/>
    <w:rsid w:val="009F5ECB"/>
    <w:rsid w:val="009F70E6"/>
    <w:rsid w:val="00A014E8"/>
    <w:rsid w:val="00A01E20"/>
    <w:rsid w:val="00A06C16"/>
    <w:rsid w:val="00A10B2A"/>
    <w:rsid w:val="00A129B2"/>
    <w:rsid w:val="00A13546"/>
    <w:rsid w:val="00A15BE5"/>
    <w:rsid w:val="00A171F0"/>
    <w:rsid w:val="00A17D0E"/>
    <w:rsid w:val="00A20109"/>
    <w:rsid w:val="00A2058D"/>
    <w:rsid w:val="00A20704"/>
    <w:rsid w:val="00A231C4"/>
    <w:rsid w:val="00A24869"/>
    <w:rsid w:val="00A31F78"/>
    <w:rsid w:val="00A3388E"/>
    <w:rsid w:val="00A33D26"/>
    <w:rsid w:val="00A350D3"/>
    <w:rsid w:val="00A36E37"/>
    <w:rsid w:val="00A41040"/>
    <w:rsid w:val="00A41E8D"/>
    <w:rsid w:val="00A46BA5"/>
    <w:rsid w:val="00A53BA7"/>
    <w:rsid w:val="00A559AD"/>
    <w:rsid w:val="00A571C3"/>
    <w:rsid w:val="00A61C60"/>
    <w:rsid w:val="00A66588"/>
    <w:rsid w:val="00A66A03"/>
    <w:rsid w:val="00A6739A"/>
    <w:rsid w:val="00A70421"/>
    <w:rsid w:val="00A71415"/>
    <w:rsid w:val="00A71939"/>
    <w:rsid w:val="00A71B31"/>
    <w:rsid w:val="00A7363F"/>
    <w:rsid w:val="00A7442C"/>
    <w:rsid w:val="00A74537"/>
    <w:rsid w:val="00A74FB9"/>
    <w:rsid w:val="00A754B7"/>
    <w:rsid w:val="00A81D42"/>
    <w:rsid w:val="00A83CAE"/>
    <w:rsid w:val="00A84F8D"/>
    <w:rsid w:val="00A872B7"/>
    <w:rsid w:val="00A9417B"/>
    <w:rsid w:val="00A95839"/>
    <w:rsid w:val="00A96C5B"/>
    <w:rsid w:val="00A97F17"/>
    <w:rsid w:val="00AA273F"/>
    <w:rsid w:val="00AA4B8C"/>
    <w:rsid w:val="00AA5CF0"/>
    <w:rsid w:val="00AA5E94"/>
    <w:rsid w:val="00AA61FD"/>
    <w:rsid w:val="00AB0E9B"/>
    <w:rsid w:val="00AB195B"/>
    <w:rsid w:val="00AB23A3"/>
    <w:rsid w:val="00AB7168"/>
    <w:rsid w:val="00AB73A2"/>
    <w:rsid w:val="00AC019F"/>
    <w:rsid w:val="00AC7024"/>
    <w:rsid w:val="00AC705E"/>
    <w:rsid w:val="00AC7267"/>
    <w:rsid w:val="00AC7A8A"/>
    <w:rsid w:val="00AD0B32"/>
    <w:rsid w:val="00AD2E92"/>
    <w:rsid w:val="00AD4469"/>
    <w:rsid w:val="00AD4D4E"/>
    <w:rsid w:val="00AE1DE7"/>
    <w:rsid w:val="00AE26C8"/>
    <w:rsid w:val="00AE71BD"/>
    <w:rsid w:val="00AF40B2"/>
    <w:rsid w:val="00AF4C89"/>
    <w:rsid w:val="00AF4F6C"/>
    <w:rsid w:val="00AF57AA"/>
    <w:rsid w:val="00AF7B9A"/>
    <w:rsid w:val="00B040CB"/>
    <w:rsid w:val="00B04F2F"/>
    <w:rsid w:val="00B110C0"/>
    <w:rsid w:val="00B11BCF"/>
    <w:rsid w:val="00B11C38"/>
    <w:rsid w:val="00B15CFD"/>
    <w:rsid w:val="00B166F0"/>
    <w:rsid w:val="00B21208"/>
    <w:rsid w:val="00B23435"/>
    <w:rsid w:val="00B23AC0"/>
    <w:rsid w:val="00B24470"/>
    <w:rsid w:val="00B257DD"/>
    <w:rsid w:val="00B26814"/>
    <w:rsid w:val="00B273F4"/>
    <w:rsid w:val="00B33B35"/>
    <w:rsid w:val="00B35887"/>
    <w:rsid w:val="00B4098C"/>
    <w:rsid w:val="00B41D64"/>
    <w:rsid w:val="00B42A4C"/>
    <w:rsid w:val="00B45F4D"/>
    <w:rsid w:val="00B50700"/>
    <w:rsid w:val="00B51850"/>
    <w:rsid w:val="00B61DD0"/>
    <w:rsid w:val="00B62063"/>
    <w:rsid w:val="00B627B7"/>
    <w:rsid w:val="00B62E77"/>
    <w:rsid w:val="00B660C3"/>
    <w:rsid w:val="00B666AE"/>
    <w:rsid w:val="00B70223"/>
    <w:rsid w:val="00B70D04"/>
    <w:rsid w:val="00B713CB"/>
    <w:rsid w:val="00B71857"/>
    <w:rsid w:val="00B73913"/>
    <w:rsid w:val="00B75CEE"/>
    <w:rsid w:val="00B80B84"/>
    <w:rsid w:val="00B845E3"/>
    <w:rsid w:val="00B851A2"/>
    <w:rsid w:val="00B8561D"/>
    <w:rsid w:val="00B87060"/>
    <w:rsid w:val="00B8781C"/>
    <w:rsid w:val="00B90A3E"/>
    <w:rsid w:val="00B9172E"/>
    <w:rsid w:val="00B93AD2"/>
    <w:rsid w:val="00B9428F"/>
    <w:rsid w:val="00B9451A"/>
    <w:rsid w:val="00B945BD"/>
    <w:rsid w:val="00BA496B"/>
    <w:rsid w:val="00BB0C16"/>
    <w:rsid w:val="00BB21B0"/>
    <w:rsid w:val="00BB3029"/>
    <w:rsid w:val="00BB54A5"/>
    <w:rsid w:val="00BB6B38"/>
    <w:rsid w:val="00BB72C0"/>
    <w:rsid w:val="00BC0863"/>
    <w:rsid w:val="00BC0D33"/>
    <w:rsid w:val="00BC137F"/>
    <w:rsid w:val="00BC163F"/>
    <w:rsid w:val="00BC4BEF"/>
    <w:rsid w:val="00BC6433"/>
    <w:rsid w:val="00BD00E6"/>
    <w:rsid w:val="00BD5404"/>
    <w:rsid w:val="00BE0721"/>
    <w:rsid w:val="00BE211C"/>
    <w:rsid w:val="00BE24ED"/>
    <w:rsid w:val="00BF0814"/>
    <w:rsid w:val="00BF1462"/>
    <w:rsid w:val="00BF432F"/>
    <w:rsid w:val="00BF50F0"/>
    <w:rsid w:val="00BF50FB"/>
    <w:rsid w:val="00C0341E"/>
    <w:rsid w:val="00C068BB"/>
    <w:rsid w:val="00C07F8B"/>
    <w:rsid w:val="00C10157"/>
    <w:rsid w:val="00C104C1"/>
    <w:rsid w:val="00C12ED8"/>
    <w:rsid w:val="00C1555A"/>
    <w:rsid w:val="00C17D61"/>
    <w:rsid w:val="00C20FC2"/>
    <w:rsid w:val="00C219A2"/>
    <w:rsid w:val="00C23AE8"/>
    <w:rsid w:val="00C25A1B"/>
    <w:rsid w:val="00C270BE"/>
    <w:rsid w:val="00C27238"/>
    <w:rsid w:val="00C27CD1"/>
    <w:rsid w:val="00C30099"/>
    <w:rsid w:val="00C30727"/>
    <w:rsid w:val="00C30F71"/>
    <w:rsid w:val="00C36E94"/>
    <w:rsid w:val="00C37BBD"/>
    <w:rsid w:val="00C42B4A"/>
    <w:rsid w:val="00C47EA9"/>
    <w:rsid w:val="00C50F4E"/>
    <w:rsid w:val="00C538E8"/>
    <w:rsid w:val="00C553DF"/>
    <w:rsid w:val="00C55939"/>
    <w:rsid w:val="00C65012"/>
    <w:rsid w:val="00C65440"/>
    <w:rsid w:val="00C700A6"/>
    <w:rsid w:val="00C703F2"/>
    <w:rsid w:val="00C70A4B"/>
    <w:rsid w:val="00C71602"/>
    <w:rsid w:val="00C758ED"/>
    <w:rsid w:val="00C75B4E"/>
    <w:rsid w:val="00C76609"/>
    <w:rsid w:val="00C82F31"/>
    <w:rsid w:val="00C846D3"/>
    <w:rsid w:val="00C84A01"/>
    <w:rsid w:val="00C8548E"/>
    <w:rsid w:val="00C864ED"/>
    <w:rsid w:val="00C90E93"/>
    <w:rsid w:val="00C93BA5"/>
    <w:rsid w:val="00C9472A"/>
    <w:rsid w:val="00C9474A"/>
    <w:rsid w:val="00C96407"/>
    <w:rsid w:val="00CA23FF"/>
    <w:rsid w:val="00CA3721"/>
    <w:rsid w:val="00CA58A1"/>
    <w:rsid w:val="00CB0B69"/>
    <w:rsid w:val="00CB295C"/>
    <w:rsid w:val="00CB47FC"/>
    <w:rsid w:val="00CB58C9"/>
    <w:rsid w:val="00CB7C49"/>
    <w:rsid w:val="00CC19AA"/>
    <w:rsid w:val="00CC2897"/>
    <w:rsid w:val="00CC5048"/>
    <w:rsid w:val="00CC5E25"/>
    <w:rsid w:val="00CD4037"/>
    <w:rsid w:val="00CD7328"/>
    <w:rsid w:val="00CE4185"/>
    <w:rsid w:val="00CE51A9"/>
    <w:rsid w:val="00CF3252"/>
    <w:rsid w:val="00CF38C2"/>
    <w:rsid w:val="00CF3EE4"/>
    <w:rsid w:val="00CF574E"/>
    <w:rsid w:val="00CF58A8"/>
    <w:rsid w:val="00CF7DFE"/>
    <w:rsid w:val="00D0319C"/>
    <w:rsid w:val="00D06204"/>
    <w:rsid w:val="00D06B98"/>
    <w:rsid w:val="00D06F0E"/>
    <w:rsid w:val="00D074E7"/>
    <w:rsid w:val="00D13140"/>
    <w:rsid w:val="00D1507A"/>
    <w:rsid w:val="00D15194"/>
    <w:rsid w:val="00D1706D"/>
    <w:rsid w:val="00D226A0"/>
    <w:rsid w:val="00D2280D"/>
    <w:rsid w:val="00D25F73"/>
    <w:rsid w:val="00D264C5"/>
    <w:rsid w:val="00D27627"/>
    <w:rsid w:val="00D301E5"/>
    <w:rsid w:val="00D335E0"/>
    <w:rsid w:val="00D36794"/>
    <w:rsid w:val="00D3793C"/>
    <w:rsid w:val="00D41A32"/>
    <w:rsid w:val="00D56896"/>
    <w:rsid w:val="00D57782"/>
    <w:rsid w:val="00D61168"/>
    <w:rsid w:val="00D61FCC"/>
    <w:rsid w:val="00D653C9"/>
    <w:rsid w:val="00D65A02"/>
    <w:rsid w:val="00D67B5D"/>
    <w:rsid w:val="00D71036"/>
    <w:rsid w:val="00D744A4"/>
    <w:rsid w:val="00D75E37"/>
    <w:rsid w:val="00D7609D"/>
    <w:rsid w:val="00D7704E"/>
    <w:rsid w:val="00D80121"/>
    <w:rsid w:val="00D81581"/>
    <w:rsid w:val="00D822FB"/>
    <w:rsid w:val="00D82B3F"/>
    <w:rsid w:val="00D82E06"/>
    <w:rsid w:val="00D83674"/>
    <w:rsid w:val="00D856CC"/>
    <w:rsid w:val="00D867EE"/>
    <w:rsid w:val="00D86814"/>
    <w:rsid w:val="00D929CE"/>
    <w:rsid w:val="00D92F20"/>
    <w:rsid w:val="00D94DCA"/>
    <w:rsid w:val="00DA1EE5"/>
    <w:rsid w:val="00DA2638"/>
    <w:rsid w:val="00DA3358"/>
    <w:rsid w:val="00DA4BFE"/>
    <w:rsid w:val="00DB1023"/>
    <w:rsid w:val="00DB1BD1"/>
    <w:rsid w:val="00DB375D"/>
    <w:rsid w:val="00DB716F"/>
    <w:rsid w:val="00DC190A"/>
    <w:rsid w:val="00DC4358"/>
    <w:rsid w:val="00DC6690"/>
    <w:rsid w:val="00DC7EC5"/>
    <w:rsid w:val="00DD000E"/>
    <w:rsid w:val="00DD10DD"/>
    <w:rsid w:val="00DD3124"/>
    <w:rsid w:val="00DD5113"/>
    <w:rsid w:val="00DD61E0"/>
    <w:rsid w:val="00DE37D2"/>
    <w:rsid w:val="00DE6F7B"/>
    <w:rsid w:val="00DF0E0D"/>
    <w:rsid w:val="00DF16C4"/>
    <w:rsid w:val="00DF2D71"/>
    <w:rsid w:val="00DF3357"/>
    <w:rsid w:val="00DF3448"/>
    <w:rsid w:val="00E00BF8"/>
    <w:rsid w:val="00E033E5"/>
    <w:rsid w:val="00E07565"/>
    <w:rsid w:val="00E07F9D"/>
    <w:rsid w:val="00E14725"/>
    <w:rsid w:val="00E1515E"/>
    <w:rsid w:val="00E1681F"/>
    <w:rsid w:val="00E1708C"/>
    <w:rsid w:val="00E23D66"/>
    <w:rsid w:val="00E2529E"/>
    <w:rsid w:val="00E309AE"/>
    <w:rsid w:val="00E30D9E"/>
    <w:rsid w:val="00E311D2"/>
    <w:rsid w:val="00E35124"/>
    <w:rsid w:val="00E37579"/>
    <w:rsid w:val="00E42464"/>
    <w:rsid w:val="00E42CF5"/>
    <w:rsid w:val="00E43DA9"/>
    <w:rsid w:val="00E44717"/>
    <w:rsid w:val="00E46BDE"/>
    <w:rsid w:val="00E47DB6"/>
    <w:rsid w:val="00E524F7"/>
    <w:rsid w:val="00E52B50"/>
    <w:rsid w:val="00E53767"/>
    <w:rsid w:val="00E55CD0"/>
    <w:rsid w:val="00E6159D"/>
    <w:rsid w:val="00E61825"/>
    <w:rsid w:val="00E62706"/>
    <w:rsid w:val="00E66CC0"/>
    <w:rsid w:val="00E67507"/>
    <w:rsid w:val="00E70FF6"/>
    <w:rsid w:val="00E7174F"/>
    <w:rsid w:val="00E71FB9"/>
    <w:rsid w:val="00E73834"/>
    <w:rsid w:val="00E74062"/>
    <w:rsid w:val="00E7416F"/>
    <w:rsid w:val="00E75611"/>
    <w:rsid w:val="00E829D7"/>
    <w:rsid w:val="00E94741"/>
    <w:rsid w:val="00E97737"/>
    <w:rsid w:val="00E97F39"/>
    <w:rsid w:val="00EA19A2"/>
    <w:rsid w:val="00EB1638"/>
    <w:rsid w:val="00EB5745"/>
    <w:rsid w:val="00EC1A67"/>
    <w:rsid w:val="00EC5134"/>
    <w:rsid w:val="00EC5E40"/>
    <w:rsid w:val="00ED0A98"/>
    <w:rsid w:val="00ED1789"/>
    <w:rsid w:val="00ED222B"/>
    <w:rsid w:val="00ED65CB"/>
    <w:rsid w:val="00ED679C"/>
    <w:rsid w:val="00EE1D6A"/>
    <w:rsid w:val="00EE3319"/>
    <w:rsid w:val="00EE3FAF"/>
    <w:rsid w:val="00EE4488"/>
    <w:rsid w:val="00EE686A"/>
    <w:rsid w:val="00EF119C"/>
    <w:rsid w:val="00EF3165"/>
    <w:rsid w:val="00EF4A1E"/>
    <w:rsid w:val="00F01226"/>
    <w:rsid w:val="00F02693"/>
    <w:rsid w:val="00F05818"/>
    <w:rsid w:val="00F078F6"/>
    <w:rsid w:val="00F106D4"/>
    <w:rsid w:val="00F11EBE"/>
    <w:rsid w:val="00F12EBB"/>
    <w:rsid w:val="00F134F2"/>
    <w:rsid w:val="00F222B7"/>
    <w:rsid w:val="00F27FCF"/>
    <w:rsid w:val="00F30593"/>
    <w:rsid w:val="00F33DDC"/>
    <w:rsid w:val="00F42135"/>
    <w:rsid w:val="00F43231"/>
    <w:rsid w:val="00F4474D"/>
    <w:rsid w:val="00F44B34"/>
    <w:rsid w:val="00F51749"/>
    <w:rsid w:val="00F526FF"/>
    <w:rsid w:val="00F54518"/>
    <w:rsid w:val="00F618CB"/>
    <w:rsid w:val="00F62A5F"/>
    <w:rsid w:val="00F64423"/>
    <w:rsid w:val="00F644F2"/>
    <w:rsid w:val="00F64D19"/>
    <w:rsid w:val="00F663DA"/>
    <w:rsid w:val="00F67B72"/>
    <w:rsid w:val="00F70273"/>
    <w:rsid w:val="00F708B2"/>
    <w:rsid w:val="00F7232E"/>
    <w:rsid w:val="00F74239"/>
    <w:rsid w:val="00F74444"/>
    <w:rsid w:val="00F80F21"/>
    <w:rsid w:val="00F8136C"/>
    <w:rsid w:val="00F817E2"/>
    <w:rsid w:val="00F84D1E"/>
    <w:rsid w:val="00F85897"/>
    <w:rsid w:val="00F85C4D"/>
    <w:rsid w:val="00F863CE"/>
    <w:rsid w:val="00F86A3E"/>
    <w:rsid w:val="00F9067E"/>
    <w:rsid w:val="00F92E71"/>
    <w:rsid w:val="00FA29DA"/>
    <w:rsid w:val="00FA3785"/>
    <w:rsid w:val="00FA60C8"/>
    <w:rsid w:val="00FB0788"/>
    <w:rsid w:val="00FB5D50"/>
    <w:rsid w:val="00FC200F"/>
    <w:rsid w:val="00FC53CE"/>
    <w:rsid w:val="00FD233E"/>
    <w:rsid w:val="00FD32C7"/>
    <w:rsid w:val="00FD33F6"/>
    <w:rsid w:val="00FD34C2"/>
    <w:rsid w:val="00FD3C4D"/>
    <w:rsid w:val="00FD5042"/>
    <w:rsid w:val="00FD52EF"/>
    <w:rsid w:val="00FD5D42"/>
    <w:rsid w:val="00FD6DAF"/>
    <w:rsid w:val="00FE61CC"/>
    <w:rsid w:val="00FF0674"/>
    <w:rsid w:val="00FF2DE4"/>
    <w:rsid w:val="00FF364B"/>
    <w:rsid w:val="00FF37E6"/>
    <w:rsid w:val="00FF396A"/>
    <w:rsid w:val="00FF49AA"/>
    <w:rsid w:val="00FF5AEC"/>
    <w:rsid w:val="277A7B7A"/>
    <w:rsid w:val="2BDA0EFB"/>
    <w:rsid w:val="2BDF379C"/>
    <w:rsid w:val="2F34492E"/>
    <w:rsid w:val="35FB04B7"/>
    <w:rsid w:val="3ABB7BC5"/>
    <w:rsid w:val="3D2FCE48"/>
    <w:rsid w:val="3F514D57"/>
    <w:rsid w:val="3F7F1030"/>
    <w:rsid w:val="43FBAE2E"/>
    <w:rsid w:val="47E8280D"/>
    <w:rsid w:val="4FC910B7"/>
    <w:rsid w:val="54BEC023"/>
    <w:rsid w:val="5DFFD5F7"/>
    <w:rsid w:val="5EDBCF9A"/>
    <w:rsid w:val="5F6ED92B"/>
    <w:rsid w:val="5FF7ECF8"/>
    <w:rsid w:val="5FF9356C"/>
    <w:rsid w:val="66AF6E93"/>
    <w:rsid w:val="6EBF1A9B"/>
    <w:rsid w:val="6F330EC9"/>
    <w:rsid w:val="73B7D902"/>
    <w:rsid w:val="7A37CDB7"/>
    <w:rsid w:val="7DFFCEE8"/>
    <w:rsid w:val="7EFD772D"/>
    <w:rsid w:val="7F1E0ED3"/>
    <w:rsid w:val="7FFAE586"/>
    <w:rsid w:val="7FFF59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6EF"/>
    <w:pPr>
      <w:widowControl w:val="0"/>
      <w:jc w:val="both"/>
    </w:pPr>
    <w:rPr>
      <w:rFonts w:ascii="Times New Roman" w:hAnsi="Times New Roman"/>
      <w:kern w:val="2"/>
      <w:szCs w:val="22"/>
    </w:rPr>
  </w:style>
  <w:style w:type="paragraph" w:styleId="Heading1">
    <w:name w:val="heading 1"/>
    <w:basedOn w:val="Normal"/>
    <w:next w:val="Normal"/>
    <w:link w:val="Heading1Char"/>
    <w:qFormat/>
    <w:rsid w:val="004B76EF"/>
    <w:pPr>
      <w:keepNext/>
      <w:keepLines/>
      <w:numPr>
        <w:numId w:val="1"/>
      </w:numPr>
      <w:spacing w:before="120" w:after="40" w:line="360" w:lineRule="auto"/>
      <w:outlineLvl w:val="0"/>
    </w:pPr>
    <w:rPr>
      <w:b/>
      <w:bCs/>
      <w:kern w:val="44"/>
      <w:sz w:val="24"/>
      <w:szCs w:val="44"/>
    </w:rPr>
  </w:style>
  <w:style w:type="paragraph" w:styleId="Heading2">
    <w:name w:val="heading 2"/>
    <w:basedOn w:val="Normal"/>
    <w:next w:val="Normal"/>
    <w:link w:val="Heading2Char"/>
    <w:unhideWhenUsed/>
    <w:qFormat/>
    <w:rsid w:val="004B76EF"/>
    <w:pPr>
      <w:keepNext/>
      <w:keepLines/>
      <w:numPr>
        <w:ilvl w:val="1"/>
        <w:numId w:val="1"/>
      </w:numPr>
      <w:tabs>
        <w:tab w:val="left" w:pos="612"/>
      </w:tabs>
      <w:spacing w:before="120" w:after="40" w:line="360" w:lineRule="auto"/>
      <w:outlineLvl w:val="1"/>
    </w:pPr>
    <w:rPr>
      <w:rFonts w:eastAsiaTheme="majorEastAsia" w:cstheme="majorBidi"/>
      <w:b/>
      <w:bCs/>
      <w:szCs w:val="32"/>
    </w:rPr>
  </w:style>
  <w:style w:type="paragraph" w:styleId="Heading3">
    <w:name w:val="heading 3"/>
    <w:basedOn w:val="Normal"/>
    <w:next w:val="Normal"/>
    <w:link w:val="Heading3Char"/>
    <w:uiPriority w:val="9"/>
    <w:unhideWhenUsed/>
    <w:qFormat/>
    <w:rsid w:val="004B76EF"/>
    <w:pPr>
      <w:keepNext/>
      <w:keepLines/>
      <w:numPr>
        <w:ilvl w:val="2"/>
        <w:numId w:val="1"/>
      </w:numPr>
      <w:tabs>
        <w:tab w:val="left" w:pos="612"/>
      </w:tabs>
      <w:spacing w:before="260" w:after="120"/>
      <w:ind w:left="902" w:hanging="902"/>
      <w:outlineLvl w:val="2"/>
    </w:pPr>
    <w:rPr>
      <w:b/>
      <w:bCs/>
      <w:szCs w:val="32"/>
    </w:rPr>
  </w:style>
  <w:style w:type="paragraph" w:styleId="Heading4">
    <w:name w:val="heading 4"/>
    <w:basedOn w:val="Normal"/>
    <w:next w:val="Normal"/>
    <w:link w:val="Heading4Char"/>
    <w:uiPriority w:val="9"/>
    <w:semiHidden/>
    <w:unhideWhenUsed/>
    <w:qFormat/>
    <w:rsid w:val="004B76EF"/>
    <w:pPr>
      <w:keepNext/>
      <w:keepLines/>
      <w:numPr>
        <w:ilvl w:val="3"/>
        <w:numId w:val="1"/>
      </w:numPr>
      <w:tabs>
        <w:tab w:val="left" w:pos="612"/>
      </w:tab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4B76EF"/>
    <w:pPr>
      <w:keepNext/>
      <w:keepLines/>
      <w:numPr>
        <w:ilvl w:val="4"/>
        <w:numId w:val="1"/>
      </w:numPr>
      <w:tabs>
        <w:tab w:val="left" w:pos="612"/>
      </w:tab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4B76EF"/>
    <w:pPr>
      <w:keepNext/>
      <w:keepLines/>
      <w:numPr>
        <w:ilvl w:val="5"/>
        <w:numId w:val="1"/>
      </w:numPr>
      <w:tabs>
        <w:tab w:val="left" w:pos="61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4B76EF"/>
    <w:pPr>
      <w:keepNext/>
      <w:keepLines/>
      <w:numPr>
        <w:ilvl w:val="6"/>
        <w:numId w:val="1"/>
      </w:numPr>
      <w:tabs>
        <w:tab w:val="left" w:pos="61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4B76EF"/>
    <w:pPr>
      <w:keepNext/>
      <w:keepLines/>
      <w:numPr>
        <w:ilvl w:val="7"/>
        <w:numId w:val="1"/>
      </w:numPr>
      <w:tabs>
        <w:tab w:val="left" w:pos="61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4B76EF"/>
    <w:pPr>
      <w:keepNext/>
      <w:keepLines/>
      <w:numPr>
        <w:ilvl w:val="8"/>
        <w:numId w:val="1"/>
      </w:numPr>
      <w:tabs>
        <w:tab w:val="left" w:pos="612"/>
      </w:tab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4B76EF"/>
    <w:rPr>
      <w:sz w:val="18"/>
      <w:szCs w:val="18"/>
    </w:rPr>
  </w:style>
  <w:style w:type="paragraph" w:styleId="BodyText">
    <w:name w:val="Body Text"/>
    <w:basedOn w:val="Normal"/>
    <w:link w:val="BodyTextChar"/>
    <w:qFormat/>
    <w:rsid w:val="004B76EF"/>
    <w:pPr>
      <w:widowControl/>
      <w:spacing w:after="120"/>
    </w:pPr>
    <w:rPr>
      <w:rFonts w:eastAsia="MS Mincho" w:cs="Times New Roman"/>
      <w:kern w:val="0"/>
      <w:szCs w:val="24"/>
      <w:lang w:eastAsia="en-US"/>
    </w:rPr>
  </w:style>
  <w:style w:type="character" w:styleId="CommentReference">
    <w:name w:val="annotation reference"/>
    <w:basedOn w:val="DefaultParagraphFont"/>
    <w:uiPriority w:val="99"/>
    <w:unhideWhenUsed/>
    <w:qFormat/>
    <w:rsid w:val="004B76EF"/>
    <w:rPr>
      <w:sz w:val="21"/>
      <w:szCs w:val="21"/>
    </w:rPr>
  </w:style>
  <w:style w:type="paragraph" w:styleId="CommentText">
    <w:name w:val="annotation text"/>
    <w:basedOn w:val="Normal"/>
    <w:link w:val="CommentTextChar"/>
    <w:unhideWhenUsed/>
    <w:qFormat/>
    <w:rsid w:val="004B76EF"/>
    <w:pPr>
      <w:jc w:val="left"/>
    </w:pPr>
  </w:style>
  <w:style w:type="paragraph" w:styleId="CommentSubject">
    <w:name w:val="annotation subject"/>
    <w:basedOn w:val="CommentText"/>
    <w:next w:val="CommentText"/>
    <w:link w:val="CommentSubjectChar"/>
    <w:uiPriority w:val="99"/>
    <w:semiHidden/>
    <w:unhideWhenUsed/>
    <w:qFormat/>
    <w:rsid w:val="004B76EF"/>
    <w:rPr>
      <w:b/>
      <w:bCs/>
    </w:rPr>
  </w:style>
  <w:style w:type="paragraph" w:styleId="DocumentMap">
    <w:name w:val="Document Map"/>
    <w:basedOn w:val="Normal"/>
    <w:link w:val="DocumentMapChar"/>
    <w:uiPriority w:val="99"/>
    <w:semiHidden/>
    <w:unhideWhenUsed/>
    <w:qFormat/>
    <w:rsid w:val="004B76EF"/>
    <w:rPr>
      <w:rFonts w:ascii="Tahoma" w:hAnsi="Tahoma" w:cs="Tahoma"/>
      <w:sz w:val="16"/>
      <w:szCs w:val="16"/>
    </w:rPr>
  </w:style>
  <w:style w:type="paragraph" w:styleId="Footer">
    <w:name w:val="footer"/>
    <w:basedOn w:val="Normal"/>
    <w:link w:val="FooterChar"/>
    <w:uiPriority w:val="99"/>
    <w:unhideWhenUsed/>
    <w:qFormat/>
    <w:rsid w:val="004B76EF"/>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4B76EF"/>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iPriority w:val="99"/>
    <w:semiHidden/>
    <w:unhideWhenUsed/>
    <w:qFormat/>
    <w:rsid w:val="004B76EF"/>
    <w:rPr>
      <w:color w:val="006699"/>
      <w:u w:val="none"/>
    </w:rPr>
  </w:style>
  <w:style w:type="table" w:styleId="TableGrid">
    <w:name w:val="Table Grid"/>
    <w:basedOn w:val="TableNormal"/>
    <w:uiPriority w:val="39"/>
    <w:qFormat/>
    <w:rsid w:val="004B76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4B76EF"/>
    <w:rPr>
      <w:rFonts w:ascii="Times New Roman" w:hAnsi="Times New Roman"/>
      <w:b/>
      <w:bCs/>
      <w:kern w:val="44"/>
      <w:sz w:val="24"/>
      <w:szCs w:val="44"/>
    </w:rPr>
  </w:style>
  <w:style w:type="character" w:customStyle="1" w:styleId="Heading2Char">
    <w:name w:val="Heading 2 Char"/>
    <w:basedOn w:val="DefaultParagraphFont"/>
    <w:link w:val="Heading2"/>
    <w:uiPriority w:val="9"/>
    <w:qFormat/>
    <w:rsid w:val="004B76EF"/>
    <w:rPr>
      <w:rFonts w:ascii="Times New Roman" w:eastAsiaTheme="majorEastAsia" w:hAnsi="Times New Roman" w:cstheme="majorBidi"/>
      <w:b/>
      <w:bCs/>
      <w:sz w:val="20"/>
      <w:szCs w:val="32"/>
    </w:rPr>
  </w:style>
  <w:style w:type="character" w:customStyle="1" w:styleId="Heading3Char">
    <w:name w:val="Heading 3 Char"/>
    <w:basedOn w:val="DefaultParagraphFont"/>
    <w:link w:val="Heading3"/>
    <w:uiPriority w:val="9"/>
    <w:qFormat/>
    <w:rsid w:val="004B76EF"/>
    <w:rPr>
      <w:rFonts w:ascii="Times New Roman" w:hAnsi="Times New Roman"/>
      <w:b/>
      <w:bCs/>
      <w:kern w:val="2"/>
      <w:szCs w:val="32"/>
    </w:rPr>
  </w:style>
  <w:style w:type="character" w:customStyle="1" w:styleId="Heading4Char">
    <w:name w:val="Heading 4 Char"/>
    <w:basedOn w:val="DefaultParagraphFont"/>
    <w:link w:val="Heading4"/>
    <w:uiPriority w:val="9"/>
    <w:semiHidden/>
    <w:qFormat/>
    <w:rsid w:val="004B76EF"/>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qFormat/>
    <w:rsid w:val="004B76EF"/>
    <w:rPr>
      <w:b/>
      <w:bCs/>
      <w:sz w:val="28"/>
      <w:szCs w:val="28"/>
    </w:rPr>
  </w:style>
  <w:style w:type="character" w:customStyle="1" w:styleId="Heading6Char">
    <w:name w:val="Heading 6 Char"/>
    <w:basedOn w:val="DefaultParagraphFont"/>
    <w:link w:val="Heading6"/>
    <w:uiPriority w:val="9"/>
    <w:semiHidden/>
    <w:qFormat/>
    <w:rsid w:val="004B76EF"/>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qFormat/>
    <w:rsid w:val="004B76EF"/>
    <w:rPr>
      <w:b/>
      <w:bCs/>
      <w:sz w:val="24"/>
      <w:szCs w:val="24"/>
    </w:rPr>
  </w:style>
  <w:style w:type="character" w:customStyle="1" w:styleId="Heading8Char">
    <w:name w:val="Heading 8 Char"/>
    <w:basedOn w:val="DefaultParagraphFont"/>
    <w:link w:val="Heading8"/>
    <w:uiPriority w:val="9"/>
    <w:semiHidden/>
    <w:qFormat/>
    <w:rsid w:val="004B76EF"/>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qFormat/>
    <w:rsid w:val="004B76EF"/>
    <w:rPr>
      <w:rFonts w:asciiTheme="majorHAnsi" w:eastAsiaTheme="majorEastAsia" w:hAnsiTheme="majorHAnsi" w:cstheme="majorBidi"/>
      <w:szCs w:val="21"/>
    </w:rPr>
  </w:style>
  <w:style w:type="character" w:customStyle="1" w:styleId="BodyTextChar">
    <w:name w:val="Body Text Char"/>
    <w:basedOn w:val="DefaultParagraphFont"/>
    <w:link w:val="BodyText"/>
    <w:qFormat/>
    <w:rsid w:val="004B76EF"/>
    <w:rPr>
      <w:rFonts w:ascii="Times New Roman" w:eastAsia="MS Mincho" w:hAnsi="Times New Roman" w:cs="Times New Roman"/>
      <w:kern w:val="0"/>
      <w:sz w:val="20"/>
      <w:szCs w:val="24"/>
      <w:lang w:eastAsia="en-US"/>
    </w:rPr>
  </w:style>
  <w:style w:type="character" w:customStyle="1" w:styleId="HeaderChar">
    <w:name w:val="Header Char"/>
    <w:basedOn w:val="DefaultParagraphFont"/>
    <w:link w:val="Header"/>
    <w:uiPriority w:val="99"/>
    <w:qFormat/>
    <w:rsid w:val="004B76EF"/>
    <w:rPr>
      <w:rFonts w:ascii="Times New Roman" w:hAnsi="Times New Roman"/>
      <w:sz w:val="18"/>
      <w:szCs w:val="18"/>
    </w:rPr>
  </w:style>
  <w:style w:type="character" w:customStyle="1" w:styleId="FooterChar">
    <w:name w:val="Footer Char"/>
    <w:basedOn w:val="DefaultParagraphFont"/>
    <w:link w:val="Footer"/>
    <w:uiPriority w:val="99"/>
    <w:qFormat/>
    <w:rsid w:val="004B76EF"/>
    <w:rPr>
      <w:rFonts w:ascii="Times New Roman" w:hAnsi="Times New Roman"/>
      <w:sz w:val="18"/>
      <w:szCs w:val="18"/>
    </w:rPr>
  </w:style>
  <w:style w:type="character" w:customStyle="1" w:styleId="CommentTextChar">
    <w:name w:val="Comment Text Char"/>
    <w:basedOn w:val="DefaultParagraphFont"/>
    <w:link w:val="CommentText"/>
    <w:uiPriority w:val="99"/>
    <w:qFormat/>
    <w:rsid w:val="004B76EF"/>
    <w:rPr>
      <w:rFonts w:ascii="Times New Roman" w:hAnsi="Times New Roman"/>
      <w:sz w:val="20"/>
    </w:rPr>
  </w:style>
  <w:style w:type="character" w:customStyle="1" w:styleId="CommentSubjectChar">
    <w:name w:val="Comment Subject Char"/>
    <w:basedOn w:val="CommentTextChar"/>
    <w:link w:val="CommentSubject"/>
    <w:uiPriority w:val="99"/>
    <w:semiHidden/>
    <w:qFormat/>
    <w:rsid w:val="004B76EF"/>
    <w:rPr>
      <w:rFonts w:ascii="Times New Roman" w:hAnsi="Times New Roman"/>
      <w:b/>
      <w:bCs/>
      <w:sz w:val="20"/>
    </w:rPr>
  </w:style>
  <w:style w:type="paragraph" w:customStyle="1" w:styleId="1">
    <w:name w:val="修订1"/>
    <w:hidden/>
    <w:uiPriority w:val="99"/>
    <w:semiHidden/>
    <w:qFormat/>
    <w:rsid w:val="004B76EF"/>
    <w:rPr>
      <w:rFonts w:ascii="Times New Roman" w:hAnsi="Times New Roman"/>
      <w:kern w:val="2"/>
      <w:szCs w:val="22"/>
    </w:rPr>
  </w:style>
  <w:style w:type="character" w:customStyle="1" w:styleId="BalloonTextChar">
    <w:name w:val="Balloon Text Char"/>
    <w:basedOn w:val="DefaultParagraphFont"/>
    <w:link w:val="BalloonText"/>
    <w:uiPriority w:val="99"/>
    <w:semiHidden/>
    <w:qFormat/>
    <w:rsid w:val="004B76EF"/>
    <w:rPr>
      <w:rFonts w:ascii="Times New Roman" w:hAnsi="Times New Roman"/>
      <w:sz w:val="18"/>
      <w:szCs w:val="18"/>
    </w:rPr>
  </w:style>
  <w:style w:type="paragraph" w:styleId="ListParagraph">
    <w:name w:val="List Paragraph"/>
    <w:basedOn w:val="Normal"/>
    <w:link w:val="ListParagraphChar"/>
    <w:uiPriority w:val="34"/>
    <w:qFormat/>
    <w:rsid w:val="004B76EF"/>
    <w:pPr>
      <w:ind w:firstLineChars="200" w:firstLine="420"/>
    </w:pPr>
  </w:style>
  <w:style w:type="character" w:customStyle="1" w:styleId="ListParagraphChar">
    <w:name w:val="List Paragraph Char"/>
    <w:link w:val="ListParagraph"/>
    <w:uiPriority w:val="34"/>
    <w:qFormat/>
    <w:rsid w:val="004B76EF"/>
    <w:rPr>
      <w:rFonts w:ascii="Times New Roman" w:hAnsi="Times New Roman"/>
      <w:sz w:val="20"/>
    </w:rPr>
  </w:style>
  <w:style w:type="character" w:styleId="PlaceholderText">
    <w:name w:val="Placeholder Text"/>
    <w:basedOn w:val="DefaultParagraphFont"/>
    <w:uiPriority w:val="99"/>
    <w:semiHidden/>
    <w:qFormat/>
    <w:rsid w:val="004B76EF"/>
    <w:rPr>
      <w:color w:val="808080"/>
    </w:rPr>
  </w:style>
  <w:style w:type="character" w:customStyle="1" w:styleId="DocumentMapChar">
    <w:name w:val="Document Map Char"/>
    <w:basedOn w:val="DefaultParagraphFont"/>
    <w:link w:val="DocumentMap"/>
    <w:uiPriority w:val="99"/>
    <w:semiHidden/>
    <w:qFormat/>
    <w:rsid w:val="004B76EF"/>
    <w:rPr>
      <w:rFonts w:ascii="Tahoma" w:hAnsi="Tahoma" w:cs="Tahoma"/>
      <w:sz w:val="16"/>
      <w:szCs w:val="16"/>
    </w:rPr>
  </w:style>
  <w:style w:type="character" w:customStyle="1" w:styleId="10">
    <w:name w:val="列表段落 字符1"/>
    <w:uiPriority w:val="34"/>
    <w:qFormat/>
    <w:rsid w:val="004B76EF"/>
    <w:rPr>
      <w:rFonts w:ascii="Times" w:eastAsia="Batang" w:hAnsi="Times"/>
      <w:szCs w:val="24"/>
      <w:lang w:val="en-GB"/>
    </w:rPr>
  </w:style>
  <w:style w:type="paragraph" w:customStyle="1" w:styleId="B1">
    <w:name w:val="B1"/>
    <w:basedOn w:val="Normal"/>
    <w:link w:val="B1Char1"/>
    <w:qFormat/>
    <w:rsid w:val="004B76EF"/>
    <w:pPr>
      <w:widowControl/>
      <w:spacing w:after="180"/>
      <w:ind w:left="568" w:hanging="284"/>
      <w:jc w:val="left"/>
    </w:pPr>
    <w:rPr>
      <w:rFonts w:eastAsia="SimSun" w:cs="Times New Roman"/>
      <w:kern w:val="0"/>
      <w:szCs w:val="20"/>
      <w:lang w:val="en-GB" w:eastAsia="en-US"/>
    </w:rPr>
  </w:style>
  <w:style w:type="character" w:customStyle="1" w:styleId="B1Char1">
    <w:name w:val="B1 Char1"/>
    <w:link w:val="B1"/>
    <w:qFormat/>
    <w:rsid w:val="004B76EF"/>
    <w:rPr>
      <w:rFonts w:ascii="Times New Roman" w:eastAsia="SimSu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25216;&#26415;&#36164;&#26009;\2022\CA\Docs\R1-22129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5922</Words>
  <Characters>33757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aaa</cp:lastModifiedBy>
  <cp:revision>14</cp:revision>
  <dcterms:created xsi:type="dcterms:W3CDTF">2023-02-14T19:45:00Z</dcterms:created>
  <dcterms:modified xsi:type="dcterms:W3CDTF">2023-02-17T02:06:00Z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618B24B291DD4927A64BD7F0E73BCDBF</vt:lpwstr>
  </property>
</Properties>
</file>